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50AE9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Эпидемиология и профилактика ИСМП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50AE9">
        <w:rPr>
          <w:rFonts w:ascii="Times New Roman" w:hAnsi="Times New Roman" w:cs="Times New Roman"/>
          <w:sz w:val="24"/>
          <w:szCs w:val="24"/>
        </w:rPr>
        <w:t>Эпидемиология и профилактика ИСМП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3C05E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3C05E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3C05E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913AD0" w:rsidP="00913A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50A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</w:t>
      </w:r>
      <w:r w:rsidR="00350AE9" w:rsidRPr="00350A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ь</w:t>
      </w:r>
      <w:r w:rsidR="00350AE9" w:rsidRPr="00350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дополнительной профессиональной программы повышения квалификации «Эпидемиология и профилактика ИСМП» обусловлена необходимостью совершенствования профессиональных компетенций специалистов практического здравоохранения разного профиля в сложных современных эпидемиологических условиях в области эпидемиологической безопасности и профилактики инфекций, связанных с оказанием медицинской помощи (ИСМП), а также профилактики профессионального заражения на рабочих местах и обеспечения условий эпидемиологической безопасности в медицинской организации.</w:t>
      </w:r>
      <w:proofErr w:type="gramEnd"/>
    </w:p>
    <w:p w:rsidR="00BC5E94" w:rsidRPr="008B0A9A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50AE9" w:rsidRPr="00350AE9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заключается в совершенствовании и получении новых компетенций, необходимых для профессиональной деятельности, и (или) повышении профессионального уровня в рамках имеющейся квалификации специалистов практического здравоохранения для проведения инфекционного контроля в медицинских организациях в целях выявления, учета и профилактики инфекций, связанных с оказанием медицинской помощи (ИСМП), предупреждения риска профессионального заражения на рабочих местах;</w:t>
      </w:r>
      <w:proofErr w:type="gramEnd"/>
      <w:r w:rsidR="00350AE9" w:rsidRPr="00350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осуществления мероприятий по обеспечению эпидемиологической безопасности медицинской организации.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50AE9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здравоохранения и общественное здоровье, </w:t>
      </w:r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 xml:space="preserve">Авиационная и космическая медицина, Акушерство и гинекология, Аллергология и иммунология, Анестезиология-реаниматология, Бактериология, Вирусология, Водолазная медицина, Гастроэнтерология, Гематология, Генетика, Гериатрия, Гигиеническое воспитание, </w:t>
      </w:r>
      <w:proofErr w:type="spellStart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>Дезинфектология</w:t>
      </w:r>
      <w:proofErr w:type="spellEnd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>Дерматовенерология</w:t>
      </w:r>
      <w:proofErr w:type="spellEnd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 xml:space="preserve">, Детская кардиология, Детская онкология, Детская онкология-гематология, Детская урология-андрология, Детская хирургия, Детская эндокринология, Диетология, Инфекционные болезни, Кардиология, Клиническая лабораторная диагностика, Клиническая фармакология, </w:t>
      </w:r>
      <w:proofErr w:type="spellStart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>Колопроктология</w:t>
      </w:r>
      <w:proofErr w:type="spellEnd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>, Косметология, Лабораторная генетика, Лечебная физкультура и спортивная медицина, Лечебное дело</w:t>
      </w:r>
      <w:proofErr w:type="gramEnd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 xml:space="preserve">Мануальная терапия, Медико-профилактическое дело, Медико-социальная экспертиза, Медицинская биофизика, Медицинская биохимия, Медицинская кибернетика, Медицинская микробиология, Неврология, Нейрохирургия, Неонатология, Нефрология, Общая врачебная практика (семейная медицина), Онкология, Ортодонтия, </w:t>
      </w:r>
      <w:proofErr w:type="spellStart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>Остеопатия</w:t>
      </w:r>
      <w:proofErr w:type="spellEnd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 xml:space="preserve">, Оториноларингология, Офтальмология, Паразитология, Патологическая анатомия, Педиатрия, Пластическая хирургия, </w:t>
      </w:r>
      <w:proofErr w:type="spellStart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>Профпатология</w:t>
      </w:r>
      <w:proofErr w:type="spellEnd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 xml:space="preserve">, Психиатрия, Психиатрия-наркология, Психотерапия, Пульмонология, Радиология, Радиотерапия, Ревматология, Рентгенология, </w:t>
      </w:r>
      <w:proofErr w:type="spellStart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>Рентгенэндоваскулярные</w:t>
      </w:r>
      <w:proofErr w:type="spellEnd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и лечение, Рефлексотерапия, Сексология, Сердечно-сосудистая хирургия, Сестринское дело, Скорая медицинская помощь, Стоматология детская, Стоматология общей</w:t>
      </w:r>
      <w:proofErr w:type="gramEnd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 xml:space="preserve">практики, Стоматология ортопедическая, Стоматология терапевтическая, Стоматология хирургическая, Судебно-медицинская экспертиза, Судебно-психиатрическая экспертиза, </w:t>
      </w:r>
      <w:proofErr w:type="spellStart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>Сурдология</w:t>
      </w:r>
      <w:proofErr w:type="spellEnd"/>
      <w:r w:rsidR="003C05E7" w:rsidRPr="003C05E7">
        <w:rPr>
          <w:rFonts w:ascii="Times New Roman" w:hAnsi="Times New Roman" w:cs="Times New Roman"/>
          <w:sz w:val="24"/>
          <w:szCs w:val="24"/>
          <w:lang w:val="ru-RU"/>
        </w:rPr>
        <w:t>-оториноларингология, Терапия, Токсикология, Торакальная хирургия, Травматология и ортопедия, Трансфузиология, Ультразвуковая диагностика, Управление и экономика фармации, Управление сестринской деятельностью, Урология, Фармация, Физиотерапия, Физическая и реабилитационная медицина, Фтизиатрия, Функциональная диагностика, Хирургия, Челюстно-лицевая хирургия, Эндокринология, Эндоскопия, Эпидемиология</w:t>
      </w:r>
      <w:r w:rsidR="008B0A9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50AE9" w:rsidRPr="00350AE9" w:rsidRDefault="00350AE9" w:rsidP="00350AE9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ПК-1. Способность и готовность выявлять и предупреждать инфекции, связанные с оказанием медицинской помощи (ИСМП). </w:t>
      </w:r>
    </w:p>
    <w:p w:rsidR="00350AE9" w:rsidRPr="00350AE9" w:rsidRDefault="00350AE9" w:rsidP="00350AE9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E9">
        <w:rPr>
          <w:rFonts w:ascii="Times New Roman" w:eastAsia="Times New Roman" w:hAnsi="Times New Roman" w:cs="Times New Roman"/>
          <w:sz w:val="24"/>
          <w:szCs w:val="24"/>
        </w:rPr>
        <w:t xml:space="preserve">ПК-2. Способность и готовность участвовать в обеспечении мероприятий по предупреждению заноса и распространения инфекционных (паразитарных) болезней, формирования очагов инфекций, связанных с оказанием медицинской помощи, антиинфекционной защите медицинских манипуляций, пациентов и медицинских работников. </w:t>
      </w:r>
    </w:p>
    <w:p w:rsidR="00350AE9" w:rsidRPr="00350AE9" w:rsidRDefault="00350AE9" w:rsidP="00350AE9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E9">
        <w:rPr>
          <w:rFonts w:ascii="Times New Roman" w:eastAsia="Times New Roman" w:hAnsi="Times New Roman" w:cs="Times New Roman"/>
          <w:sz w:val="24"/>
          <w:szCs w:val="24"/>
        </w:rPr>
        <w:t xml:space="preserve">ПК-3. Способность и готовность анализировать результаты собственной деятельности для предотвращения распространения ИСМП, осознавая дисциплинарную, административную, гражданско-правовую и уголовную ответственность. </w:t>
      </w:r>
    </w:p>
    <w:p w:rsidR="00350AE9" w:rsidRPr="00350AE9" w:rsidRDefault="00350AE9" w:rsidP="00350AE9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E9">
        <w:rPr>
          <w:rFonts w:ascii="Times New Roman" w:eastAsia="Times New Roman" w:hAnsi="Times New Roman" w:cs="Times New Roman"/>
          <w:sz w:val="24"/>
          <w:szCs w:val="24"/>
        </w:rPr>
        <w:t xml:space="preserve">ПК-4. Способность и готовность работать в коллективе в условиях постоянного эпидемиологического надзора за ИСМП, антибиотикорезистентностью госпитальных штаммов возбудителей ИСМП с последующей оценкой их эффективности и необходимым совершенствованием в условиях неблагоприятной санитарно-эпидемической обстановки и введения режима повышенной готовности в отношении глобальных биологических рисков. </w:t>
      </w:r>
    </w:p>
    <w:p w:rsidR="00350AE9" w:rsidRPr="00350AE9" w:rsidRDefault="00350AE9" w:rsidP="00350AE9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E9">
        <w:rPr>
          <w:rFonts w:ascii="Times New Roman" w:eastAsia="Times New Roman" w:hAnsi="Times New Roman" w:cs="Times New Roman"/>
          <w:sz w:val="24"/>
          <w:szCs w:val="24"/>
        </w:rPr>
        <w:t>ПК-5. Способность и готовность к самоорганизации и самообразованию, систематически отрабатывать теоретические знания и практические навыки для снижения частоты инфекций, связанных с оказанием медицинской помощи и усовершенствования инфекционного контроля в медицинских организациях разного профиля.</w:t>
      </w:r>
    </w:p>
    <w:p w:rsidR="00996CB0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350AE9" w:rsidRPr="00350AE9" w:rsidRDefault="00350AE9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C05E7" w:rsidRPr="003C05E7" w:rsidRDefault="003C05E7" w:rsidP="003C05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05E7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3C05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05E7">
        <w:rPr>
          <w:rFonts w:ascii="Times New Roman" w:eastAsia="Times New Roman" w:hAnsi="Times New Roman" w:cs="Times New Roman"/>
          <w:i/>
          <w:sz w:val="24"/>
          <w:szCs w:val="24"/>
        </w:rPr>
        <w:t>Эпидемиология инфекций, связанных с оказанием медицинской помощи (ИСМП).</w:t>
      </w:r>
    </w:p>
    <w:p w:rsidR="003C05E7" w:rsidRPr="003C05E7" w:rsidRDefault="003C05E7" w:rsidP="003C05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05E7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3C05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05E7">
        <w:rPr>
          <w:rFonts w:ascii="Times New Roman" w:eastAsia="Times New Roman" w:hAnsi="Times New Roman" w:cs="Times New Roman"/>
          <w:i/>
          <w:sz w:val="24"/>
          <w:szCs w:val="24"/>
        </w:rPr>
        <w:t>Номенклатура инфекций, связанных с оказанием медицинской помощи, подлежащих выявлению и регистрации в медицинской организации. Выявление, регистрация, учет  ИСМП.</w:t>
      </w:r>
    </w:p>
    <w:p w:rsidR="003C05E7" w:rsidRPr="003C05E7" w:rsidRDefault="003C05E7" w:rsidP="003C05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3C05E7">
        <w:rPr>
          <w:rFonts w:ascii="Times New Roman" w:eastAsia="Times New Roman" w:hAnsi="Times New Roman" w:cs="Times New Roman"/>
          <w:i/>
          <w:sz w:val="24"/>
          <w:szCs w:val="24"/>
        </w:rPr>
        <w:t>Профилактика ИСМП в медицинских организациях. Эпидемиологическая безопасность.</w:t>
      </w:r>
    </w:p>
    <w:p w:rsidR="00350AE9" w:rsidRDefault="003C05E7" w:rsidP="003C05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3C05E7">
        <w:rPr>
          <w:rFonts w:ascii="Times New Roman" w:eastAsia="Times New Roman" w:hAnsi="Times New Roman" w:cs="Times New Roman"/>
          <w:i/>
          <w:sz w:val="24"/>
          <w:szCs w:val="24"/>
        </w:rPr>
        <w:t>Итоговая 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</w:t>
      </w:r>
      <w:r w:rsidRPr="003C05E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C05E7" w:rsidRPr="003C05E7" w:rsidRDefault="003C05E7" w:rsidP="003C05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3C05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50AE9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ЭПИДЕМИОЛОГИЯ И ПРОФИЛАКТИКА ИСМП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3C05E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3C05E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350AE9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3C05E7" w:rsidRPr="00507616" w:rsidTr="00350AE9">
        <w:tc>
          <w:tcPr>
            <w:tcW w:w="267" w:type="pct"/>
          </w:tcPr>
          <w:p w:rsidR="003C05E7" w:rsidRPr="003C05E7" w:rsidRDefault="003C05E7" w:rsidP="003C0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45" w:type="pct"/>
          </w:tcPr>
          <w:p w:rsidR="003C05E7" w:rsidRPr="003C05E7" w:rsidRDefault="003C05E7" w:rsidP="003C0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МОДУЛЬ 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Эпидемиология инфекций, связанных с оказанием медицинской помощи (ИСМП)</w:t>
            </w:r>
            <w:r w:rsidRPr="003C05E7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  <w:t>.</w:t>
            </w:r>
          </w:p>
        </w:tc>
        <w:tc>
          <w:tcPr>
            <w:tcW w:w="344" w:type="pct"/>
          </w:tcPr>
          <w:p w:rsidR="003C05E7" w:rsidRPr="003C05E7" w:rsidRDefault="003C05E7" w:rsidP="003C05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C05E7" w:rsidRPr="003C05E7" w:rsidRDefault="003C05E7" w:rsidP="003C0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3C05E7" w:rsidRPr="003C05E7" w:rsidRDefault="003C05E7" w:rsidP="003C05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C05E7" w:rsidRPr="003C05E7" w:rsidRDefault="003C05E7" w:rsidP="003C0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3C05E7" w:rsidRPr="00F50296" w:rsidRDefault="003C05E7" w:rsidP="003C05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3C05E7" w:rsidRPr="00507616" w:rsidTr="00350AE9">
        <w:tc>
          <w:tcPr>
            <w:tcW w:w="267" w:type="pct"/>
          </w:tcPr>
          <w:p w:rsidR="003C05E7" w:rsidRPr="003C05E7" w:rsidRDefault="003C05E7" w:rsidP="003C0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45" w:type="pct"/>
          </w:tcPr>
          <w:p w:rsidR="003C05E7" w:rsidRPr="003C05E7" w:rsidRDefault="003C05E7" w:rsidP="003C0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МОДУЛЬ 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 xml:space="preserve">Номенклатура инфекций, связанных с оказанием медицинской помощи, подлежащих выявлению и регистрации в медицинской организации. </w:t>
            </w:r>
            <w:r w:rsidRPr="003C05E7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  <w:t>Выявление, регистрация, учет  ИСМП.</w:t>
            </w:r>
          </w:p>
        </w:tc>
        <w:tc>
          <w:tcPr>
            <w:tcW w:w="344" w:type="pct"/>
          </w:tcPr>
          <w:p w:rsidR="003C05E7" w:rsidRPr="003C05E7" w:rsidRDefault="003C05E7" w:rsidP="003C05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4" w:type="pct"/>
          </w:tcPr>
          <w:p w:rsidR="003C05E7" w:rsidRPr="003C05E7" w:rsidRDefault="003C05E7" w:rsidP="003C05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0" w:type="pct"/>
            <w:vAlign w:val="center"/>
          </w:tcPr>
          <w:p w:rsidR="003C05E7" w:rsidRPr="00F50296" w:rsidRDefault="003C05E7" w:rsidP="003C05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3C05E7" w:rsidRPr="00507616" w:rsidTr="00350AE9">
        <w:tc>
          <w:tcPr>
            <w:tcW w:w="267" w:type="pct"/>
          </w:tcPr>
          <w:p w:rsidR="003C05E7" w:rsidRPr="003C05E7" w:rsidRDefault="003C05E7" w:rsidP="003C0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45" w:type="pct"/>
          </w:tcPr>
          <w:p w:rsidR="003C05E7" w:rsidRPr="003C05E7" w:rsidRDefault="003C05E7" w:rsidP="003C0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МОДУЛЬ 3.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Профилактика ИСМП в медицинских организациях. Эпидемиологическая безопасность.</w:t>
            </w:r>
          </w:p>
        </w:tc>
        <w:tc>
          <w:tcPr>
            <w:tcW w:w="344" w:type="pct"/>
          </w:tcPr>
          <w:p w:rsidR="003C05E7" w:rsidRPr="003C05E7" w:rsidRDefault="003C05E7" w:rsidP="003C05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4" w:type="pct"/>
          </w:tcPr>
          <w:p w:rsidR="003C05E7" w:rsidRPr="003C05E7" w:rsidRDefault="003C05E7" w:rsidP="003C05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30" w:type="pct"/>
            <w:vAlign w:val="center"/>
          </w:tcPr>
          <w:p w:rsidR="003C05E7" w:rsidRPr="00F50296" w:rsidRDefault="003C05E7" w:rsidP="003C05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3C05E7" w:rsidRPr="00507616" w:rsidTr="00350AE9">
        <w:tc>
          <w:tcPr>
            <w:tcW w:w="267" w:type="pct"/>
          </w:tcPr>
          <w:p w:rsidR="003C05E7" w:rsidRPr="003C05E7" w:rsidRDefault="003C05E7" w:rsidP="003C0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45" w:type="pct"/>
          </w:tcPr>
          <w:p w:rsidR="003C05E7" w:rsidRPr="003C05E7" w:rsidRDefault="003C05E7" w:rsidP="003C0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МОДУЛЬ 4.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Итоговая  аттестация.</w:t>
            </w:r>
          </w:p>
        </w:tc>
        <w:tc>
          <w:tcPr>
            <w:tcW w:w="344" w:type="pct"/>
          </w:tcPr>
          <w:p w:rsidR="003C05E7" w:rsidRPr="003C05E7" w:rsidRDefault="003C05E7" w:rsidP="003C05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3C05E7" w:rsidRPr="003C05E7" w:rsidRDefault="003C05E7" w:rsidP="003C05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3C05E7" w:rsidRPr="00F50296" w:rsidRDefault="003C05E7" w:rsidP="003C05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350AE9" w:rsidRPr="00507616" w:rsidTr="00350AE9">
        <w:tc>
          <w:tcPr>
            <w:tcW w:w="267" w:type="pct"/>
            <w:vAlign w:val="center"/>
          </w:tcPr>
          <w:p w:rsidR="00350AE9" w:rsidRPr="00F50296" w:rsidRDefault="00350AE9" w:rsidP="0035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350AE9" w:rsidRPr="00F50296" w:rsidRDefault="00350AE9" w:rsidP="00350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350AE9" w:rsidRPr="00F50296" w:rsidRDefault="003C05E7" w:rsidP="00350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350AE9" w:rsidRPr="00F50296" w:rsidRDefault="003C05E7" w:rsidP="00350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350AE9" w:rsidRPr="00F50296" w:rsidRDefault="00350AE9" w:rsidP="0035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7B" w:rsidRDefault="0085137B">
      <w:pPr>
        <w:spacing w:line="240" w:lineRule="auto"/>
      </w:pPr>
      <w:r>
        <w:separator/>
      </w:r>
    </w:p>
  </w:endnote>
  <w:endnote w:type="continuationSeparator" w:id="0">
    <w:p w:rsidR="0085137B" w:rsidRDefault="00851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7B" w:rsidRDefault="0085137B">
      <w:pPr>
        <w:spacing w:line="240" w:lineRule="auto"/>
      </w:pPr>
      <w:r>
        <w:separator/>
      </w:r>
    </w:p>
  </w:footnote>
  <w:footnote w:type="continuationSeparator" w:id="0">
    <w:p w:rsidR="0085137B" w:rsidRDefault="008513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5B7F7C"/>
    <w:multiLevelType w:val="hybridMultilevel"/>
    <w:tmpl w:val="302EA5A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944A9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50AE9"/>
    <w:rsid w:val="00367375"/>
    <w:rsid w:val="00370265"/>
    <w:rsid w:val="003A42FE"/>
    <w:rsid w:val="003B6B64"/>
    <w:rsid w:val="003C05E7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137B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14</cp:revision>
  <dcterms:created xsi:type="dcterms:W3CDTF">2022-07-26T05:54:00Z</dcterms:created>
  <dcterms:modified xsi:type="dcterms:W3CDTF">2022-09-26T09:55:00Z</dcterms:modified>
</cp:coreProperties>
</file>