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C359AF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555069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Онконастороженность</w:t>
      </w:r>
      <w:proofErr w:type="spellEnd"/>
      <w:r w:rsidR="00555069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, ранняя диагностика и скрининг онкологических заболеваний</w:t>
      </w: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555069">
        <w:rPr>
          <w:rFonts w:ascii="Times New Roman" w:hAnsi="Times New Roman" w:cs="Times New Roman"/>
          <w:sz w:val="24"/>
          <w:szCs w:val="24"/>
        </w:rPr>
        <w:t>Онконастороженность</w:t>
      </w:r>
      <w:proofErr w:type="spellEnd"/>
      <w:r w:rsidR="00555069">
        <w:rPr>
          <w:rFonts w:ascii="Times New Roman" w:hAnsi="Times New Roman" w:cs="Times New Roman"/>
          <w:sz w:val="24"/>
          <w:szCs w:val="24"/>
        </w:rPr>
        <w:t>, ранняя диагностика и скрининг онкологических заболеваний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9B332D">
        <w:rPr>
          <w:rFonts w:ascii="Times New Roman" w:eastAsia="Times New Roman" w:hAnsi="Times New Roman" w:cs="Times New Roman"/>
          <w:sz w:val="24"/>
          <w:szCs w:val="24"/>
          <w:lang w:val="ru-RU"/>
        </w:rPr>
        <w:t>36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9B332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9B33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36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913AD0" w:rsidRPr="00913AD0" w:rsidRDefault="00555069" w:rsidP="00913A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0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</w:t>
      </w:r>
      <w:r w:rsidRPr="00555069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дополнительной профессиональной программы повышения квалификации «</w:t>
      </w:r>
      <w:proofErr w:type="spellStart"/>
      <w:r w:rsidRPr="00555069">
        <w:rPr>
          <w:rFonts w:ascii="Times New Roman" w:hAnsi="Times New Roman" w:cs="Times New Roman"/>
          <w:sz w:val="24"/>
          <w:szCs w:val="24"/>
          <w:shd w:val="clear" w:color="auto" w:fill="FFFFFF"/>
        </w:rPr>
        <w:t>Онконастороженность</w:t>
      </w:r>
      <w:proofErr w:type="spellEnd"/>
      <w:r w:rsidRPr="00555069">
        <w:rPr>
          <w:rFonts w:ascii="Times New Roman" w:hAnsi="Times New Roman" w:cs="Times New Roman"/>
          <w:sz w:val="24"/>
          <w:szCs w:val="24"/>
          <w:shd w:val="clear" w:color="auto" w:fill="FFFFFF"/>
        </w:rPr>
        <w:t>, ранняя диагностика и скрининг онкологических заболеваний» обусловлена необходимостью ранней диагностики онкологических заболеваний у населения.</w:t>
      </w:r>
    </w:p>
    <w:p w:rsidR="009F5052" w:rsidRDefault="00BC5E94" w:rsidP="00BC5E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="009F50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</w:t>
      </w:r>
      <w:r w:rsidR="00913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55069" w:rsidRPr="00555069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образовательных и профессиональных потребностей, обеспечение соответствия квалификации врачей меняющимся условиям профессиональной деятельности и социальной среды; совершенствование и углубление профессиональных компетенций, необходимых для  профессиональной деятельности и повышения профессионального уровня в рамках имеющейся квалификации.</w:t>
      </w:r>
    </w:p>
    <w:p w:rsidR="005E6235" w:rsidRPr="005E6235" w:rsidRDefault="00BC5E94" w:rsidP="00BC5E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5E94">
        <w:rPr>
          <w:rFonts w:ascii="Times New Roman" w:hAnsi="Times New Roman" w:cs="Times New Roman"/>
          <w:i/>
          <w:sz w:val="24"/>
          <w:szCs w:val="24"/>
        </w:rPr>
        <w:t xml:space="preserve">Категория обучающихся:  </w:t>
      </w:r>
      <w:r w:rsidRPr="00BC5E9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4C7B9A">
        <w:rPr>
          <w:rFonts w:ascii="Times New Roman" w:hAnsi="Times New Roman" w:cs="Times New Roman"/>
          <w:sz w:val="24"/>
          <w:szCs w:val="24"/>
        </w:rPr>
        <w:t>пециалисты</w:t>
      </w:r>
      <w:proofErr w:type="spellEnd"/>
      <w:r w:rsidR="004C7B9A">
        <w:rPr>
          <w:rFonts w:ascii="Times New Roman" w:hAnsi="Times New Roman" w:cs="Times New Roman"/>
          <w:sz w:val="24"/>
          <w:szCs w:val="24"/>
        </w:rPr>
        <w:t xml:space="preserve"> с высшим </w:t>
      </w:r>
      <w:r w:rsidRPr="00BC5E94">
        <w:rPr>
          <w:rFonts w:ascii="Times New Roman" w:hAnsi="Times New Roman" w:cs="Times New Roman"/>
          <w:sz w:val="24"/>
          <w:szCs w:val="24"/>
        </w:rPr>
        <w:t>медицинским образованием по одной из специальностей:</w:t>
      </w:r>
      <w:proofErr w:type="gramEnd"/>
      <w:r w:rsidRPr="00BC5E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>Терапия,</w:t>
      </w:r>
      <w:r w:rsidR="00555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 xml:space="preserve">Акушерство и гинекология, Аллергология и иммунология, Гастроэнтерология, Гематология, </w:t>
      </w:r>
      <w:proofErr w:type="spellStart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>Дерматовенерология</w:t>
      </w:r>
      <w:proofErr w:type="spellEnd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 xml:space="preserve">, Детская кардиология, Детская онкология, Детская онкология-гематология, Детская урология-андрология, Детская хирургия, Детская эндокринология, Инфекционные болезни, Кардиология, </w:t>
      </w:r>
      <w:proofErr w:type="spellStart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>Колопроктология</w:t>
      </w:r>
      <w:proofErr w:type="spellEnd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 xml:space="preserve">, Косметология, Лечебное дело, Неврология, Нейрохирургия, Неонатология, Нефрология, Общая врачебная практика (семейная медицина), Онкология, Ортодонтия, Оториноларингология, Офтальмология, Педиатрия, Педиатрия (после </w:t>
      </w:r>
      <w:proofErr w:type="spellStart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 xml:space="preserve">), Пластическая хирургия, Пульмонология, Радиология, Радиотерапия, Ревматология, Рентгенология, </w:t>
      </w:r>
      <w:proofErr w:type="spellStart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>Рентгенэндоваскулярные</w:t>
      </w:r>
      <w:proofErr w:type="spellEnd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диагностика и лечение, Скорая медицинская помощь</w:t>
      </w:r>
      <w:proofErr w:type="gramEnd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 xml:space="preserve">Стоматология детская, Стоматология общей практики, Стоматология общей практики (после </w:t>
      </w:r>
      <w:proofErr w:type="spellStart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="00555069" w:rsidRPr="00555069">
        <w:rPr>
          <w:rFonts w:ascii="Times New Roman" w:hAnsi="Times New Roman" w:cs="Times New Roman"/>
          <w:sz w:val="24"/>
          <w:szCs w:val="24"/>
          <w:lang w:val="ru-RU"/>
        </w:rPr>
        <w:t>), Стоматология ортопедическая, Стоматология терапевтическая, Стоматология хирургическая, Торакальная хирургия, Травматология и ортопедия, Ультразвуковая диагностика, Урология, Функциональная диагностика, Хирургия, Челюстно-лицевая хирургия, Эндокринология, Эндоскопия</w:t>
      </w:r>
      <w:r w:rsidR="005550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913AD0" w:rsidRDefault="00913AD0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13AD0" w:rsidRDefault="00913AD0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направлена на  совершенствование следующих профессиональных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55069" w:rsidRPr="00555069" w:rsidRDefault="00555069" w:rsidP="00555069">
      <w:pPr>
        <w:pStyle w:val="ab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06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раннюю диагностику онкологических заболеваний (ПК-1).</w:t>
      </w:r>
    </w:p>
    <w:p w:rsidR="00996CB0" w:rsidRDefault="00913AD0" w:rsidP="008B0A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555069" w:rsidRPr="00555069" w:rsidRDefault="00555069" w:rsidP="005550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Онконастороженность</w:t>
      </w:r>
      <w:proofErr w:type="spellEnd"/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, ранняя диагностика и скрининг онкологических заболеваний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55069" w:rsidRPr="00555069" w:rsidRDefault="00555069" w:rsidP="005550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ab/>
        <w:t>Патогенез клинических симптомов и синдромов в онкологии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55069" w:rsidRPr="00555069" w:rsidRDefault="00555069" w:rsidP="005550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Общая семиотика. </w:t>
      </w:r>
      <w:proofErr w:type="spellStart"/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Паранеопластические</w:t>
      </w:r>
      <w:proofErr w:type="spellEnd"/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 xml:space="preserve"> синдромы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55069" w:rsidRPr="00555069" w:rsidRDefault="00555069" w:rsidP="005550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ab/>
        <w:t>Промежуточная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55069" w:rsidRPr="00555069" w:rsidRDefault="00555069" w:rsidP="005550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ab/>
        <w:t>Частная семиотика. Симптомы и синдромы онкологических заболеваний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55069" w:rsidRPr="00555069" w:rsidRDefault="00555069" w:rsidP="005550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Онконастороженность</w:t>
      </w:r>
      <w:proofErr w:type="spellEnd"/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 xml:space="preserve"> в педиатрии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55069" w:rsidRPr="00555069" w:rsidRDefault="00555069" w:rsidP="005550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Онконастороженность</w:t>
      </w:r>
      <w:proofErr w:type="spellEnd"/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стоматологии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F5052" w:rsidRPr="00555069" w:rsidRDefault="00555069" w:rsidP="005550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55069">
        <w:rPr>
          <w:rFonts w:ascii="Times New Roman" w:eastAsia="Times New Roman" w:hAnsi="Times New Roman" w:cs="Times New Roman"/>
          <w:i/>
          <w:sz w:val="24"/>
          <w:szCs w:val="24"/>
        </w:rPr>
        <w:tab/>
        <w:t>Итоговая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9B33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235" w:rsidRDefault="005E6235"/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D73721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»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913AD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D1AB1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55069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ОНКОНАСТОРОЖЕННОСТЬ, РАННЯЯ ДИАГНОСТИКА И СКРИНИНГ ОНКОЛОГИЧЕСКИХ ЗАБОЛЕВАНИЙ</w:t>
      </w: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B332D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академических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r w:rsidR="009B332D">
        <w:rPr>
          <w:rFonts w:ascii="Times New Roman" w:hAnsi="Times New Roman" w:cs="Times New Roman"/>
          <w:sz w:val="24"/>
          <w:szCs w:val="24"/>
          <w:lang w:val="ru-RU"/>
        </w:rPr>
        <w:t>ов</w:t>
      </w:r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58DB" w:rsidRPr="0099302A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302A" w:rsidRPr="0099302A" w:rsidRDefault="0099302A" w:rsidP="00EB68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1" w:rightFromText="181" w:vertAnchor="text" w:tblpX="262" w:tblpY="1"/>
        <w:tblOverlap w:val="never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85"/>
        <w:gridCol w:w="710"/>
        <w:gridCol w:w="1060"/>
        <w:gridCol w:w="2124"/>
      </w:tblGrid>
      <w:tr w:rsidR="00507616" w:rsidRPr="00507616" w:rsidTr="00555069">
        <w:tc>
          <w:tcPr>
            <w:tcW w:w="259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53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F502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344" w:type="pct"/>
          </w:tcPr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514" w:type="pct"/>
            <w:vAlign w:val="center"/>
          </w:tcPr>
          <w:p w:rsidR="003D7140" w:rsidRPr="00F50296" w:rsidRDefault="003D7140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555069" w:rsidRPr="00507616" w:rsidTr="006F22D6">
        <w:tc>
          <w:tcPr>
            <w:tcW w:w="259" w:type="pct"/>
          </w:tcPr>
          <w:p w:rsidR="00555069" w:rsidRPr="00555069" w:rsidRDefault="00555069" w:rsidP="00555069">
            <w:pPr>
              <w:pStyle w:val="ab"/>
              <w:numPr>
                <w:ilvl w:val="0"/>
                <w:numId w:val="11"/>
              </w:numPr>
              <w:spacing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3" w:type="pct"/>
          </w:tcPr>
          <w:p w:rsidR="00555069" w:rsidRPr="00555069" w:rsidRDefault="00555069" w:rsidP="005550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5069">
              <w:rPr>
                <w:rFonts w:ascii="Times New Roman" w:hAnsi="Times New Roman"/>
                <w:sz w:val="20"/>
                <w:szCs w:val="20"/>
              </w:rPr>
              <w:t>Онконастороженность</w:t>
            </w:r>
            <w:proofErr w:type="spellEnd"/>
            <w:r w:rsidRPr="00555069">
              <w:rPr>
                <w:rFonts w:ascii="Times New Roman" w:hAnsi="Times New Roman"/>
                <w:sz w:val="20"/>
                <w:szCs w:val="20"/>
              </w:rPr>
              <w:t>, ранняя диагностика и скрининг онкологических заболеваний</w:t>
            </w:r>
          </w:p>
        </w:tc>
        <w:tc>
          <w:tcPr>
            <w:tcW w:w="34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0" w:type="pct"/>
            <w:vAlign w:val="center"/>
          </w:tcPr>
          <w:p w:rsidR="00555069" w:rsidRPr="00F50296" w:rsidRDefault="00555069" w:rsidP="00555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555069" w:rsidRPr="00507616" w:rsidTr="006F22D6">
        <w:tc>
          <w:tcPr>
            <w:tcW w:w="259" w:type="pct"/>
          </w:tcPr>
          <w:p w:rsidR="00555069" w:rsidRPr="00555069" w:rsidRDefault="00555069" w:rsidP="00555069">
            <w:pPr>
              <w:pStyle w:val="ab"/>
              <w:numPr>
                <w:ilvl w:val="0"/>
                <w:numId w:val="11"/>
              </w:numPr>
              <w:spacing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3" w:type="pct"/>
          </w:tcPr>
          <w:p w:rsidR="00555069" w:rsidRPr="00555069" w:rsidRDefault="00555069" w:rsidP="005550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Патогенез клинических симптомов и синдромов в онкологии</w:t>
            </w:r>
          </w:p>
        </w:tc>
        <w:tc>
          <w:tcPr>
            <w:tcW w:w="34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0" w:type="pct"/>
            <w:vAlign w:val="center"/>
          </w:tcPr>
          <w:p w:rsidR="00555069" w:rsidRPr="00F50296" w:rsidRDefault="00555069" w:rsidP="00555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555069" w:rsidRPr="00507616" w:rsidTr="006F22D6">
        <w:tc>
          <w:tcPr>
            <w:tcW w:w="259" w:type="pct"/>
          </w:tcPr>
          <w:p w:rsidR="00555069" w:rsidRPr="00555069" w:rsidRDefault="00555069" w:rsidP="00555069">
            <w:pPr>
              <w:pStyle w:val="ab"/>
              <w:numPr>
                <w:ilvl w:val="0"/>
                <w:numId w:val="11"/>
              </w:numPr>
              <w:spacing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3" w:type="pct"/>
          </w:tcPr>
          <w:p w:rsidR="00555069" w:rsidRPr="00555069" w:rsidRDefault="00555069" w:rsidP="005550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 xml:space="preserve">Общая семиотика. </w:t>
            </w:r>
            <w:proofErr w:type="spellStart"/>
            <w:r w:rsidRPr="00555069">
              <w:rPr>
                <w:rFonts w:ascii="Times New Roman" w:hAnsi="Times New Roman"/>
                <w:sz w:val="20"/>
                <w:szCs w:val="20"/>
              </w:rPr>
              <w:t>Паранеопластические</w:t>
            </w:r>
            <w:proofErr w:type="spellEnd"/>
            <w:r w:rsidRPr="00555069">
              <w:rPr>
                <w:rFonts w:ascii="Times New Roman" w:hAnsi="Times New Roman"/>
                <w:sz w:val="20"/>
                <w:szCs w:val="20"/>
              </w:rPr>
              <w:t xml:space="preserve"> синдромы</w:t>
            </w:r>
          </w:p>
        </w:tc>
        <w:tc>
          <w:tcPr>
            <w:tcW w:w="34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0" w:type="pct"/>
            <w:vAlign w:val="center"/>
          </w:tcPr>
          <w:p w:rsidR="00555069" w:rsidRPr="00F50296" w:rsidRDefault="00555069" w:rsidP="00555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555069" w:rsidRPr="00507616" w:rsidTr="006F22D6">
        <w:tc>
          <w:tcPr>
            <w:tcW w:w="259" w:type="pct"/>
          </w:tcPr>
          <w:p w:rsidR="00555069" w:rsidRPr="00555069" w:rsidRDefault="00555069" w:rsidP="00555069">
            <w:pPr>
              <w:pStyle w:val="ab"/>
              <w:numPr>
                <w:ilvl w:val="0"/>
                <w:numId w:val="11"/>
              </w:numPr>
              <w:spacing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3" w:type="pct"/>
          </w:tcPr>
          <w:p w:rsidR="00555069" w:rsidRPr="00555069" w:rsidRDefault="00555069" w:rsidP="005550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4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Промежуточное тестирование</w:t>
            </w:r>
            <w:bookmarkStart w:id="1" w:name="_GoBack"/>
            <w:bookmarkEnd w:id="1"/>
          </w:p>
        </w:tc>
      </w:tr>
      <w:tr w:rsidR="00555069" w:rsidRPr="00507616" w:rsidTr="006F22D6">
        <w:tc>
          <w:tcPr>
            <w:tcW w:w="259" w:type="pct"/>
          </w:tcPr>
          <w:p w:rsidR="00555069" w:rsidRPr="00555069" w:rsidRDefault="00555069" w:rsidP="00555069">
            <w:pPr>
              <w:pStyle w:val="ab"/>
              <w:numPr>
                <w:ilvl w:val="0"/>
                <w:numId w:val="11"/>
              </w:numPr>
              <w:spacing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3" w:type="pct"/>
          </w:tcPr>
          <w:p w:rsidR="00555069" w:rsidRPr="00555069" w:rsidRDefault="00555069" w:rsidP="005550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Частная семиотика. Симптомы и синдромы онкологических заболеваний</w:t>
            </w:r>
          </w:p>
        </w:tc>
        <w:tc>
          <w:tcPr>
            <w:tcW w:w="34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0" w:type="pct"/>
          </w:tcPr>
          <w:p w:rsidR="00555069" w:rsidRPr="00C03BAB" w:rsidRDefault="00555069" w:rsidP="005550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555069" w:rsidRPr="00507616" w:rsidTr="006F22D6">
        <w:tc>
          <w:tcPr>
            <w:tcW w:w="259" w:type="pct"/>
          </w:tcPr>
          <w:p w:rsidR="00555069" w:rsidRPr="00555069" w:rsidRDefault="00555069" w:rsidP="00555069">
            <w:pPr>
              <w:pStyle w:val="ab"/>
              <w:numPr>
                <w:ilvl w:val="0"/>
                <w:numId w:val="11"/>
              </w:numPr>
              <w:spacing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3" w:type="pct"/>
          </w:tcPr>
          <w:p w:rsidR="00555069" w:rsidRPr="00555069" w:rsidRDefault="00555069" w:rsidP="005550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5069">
              <w:rPr>
                <w:rFonts w:ascii="Times New Roman" w:hAnsi="Times New Roman"/>
                <w:sz w:val="20"/>
                <w:szCs w:val="20"/>
              </w:rPr>
              <w:t>Онконастороженность</w:t>
            </w:r>
            <w:proofErr w:type="spellEnd"/>
            <w:r w:rsidRPr="00555069">
              <w:rPr>
                <w:rFonts w:ascii="Times New Roman" w:hAnsi="Times New Roman"/>
                <w:sz w:val="20"/>
                <w:szCs w:val="20"/>
              </w:rPr>
              <w:t xml:space="preserve"> в педиатрии</w:t>
            </w:r>
          </w:p>
        </w:tc>
        <w:tc>
          <w:tcPr>
            <w:tcW w:w="34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0" w:type="pct"/>
          </w:tcPr>
          <w:p w:rsidR="00555069" w:rsidRPr="00C03BAB" w:rsidRDefault="00555069" w:rsidP="005550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555069" w:rsidRPr="00507616" w:rsidTr="006F22D6">
        <w:tc>
          <w:tcPr>
            <w:tcW w:w="259" w:type="pct"/>
          </w:tcPr>
          <w:p w:rsidR="00555069" w:rsidRPr="00555069" w:rsidRDefault="00555069" w:rsidP="00555069">
            <w:pPr>
              <w:pStyle w:val="ab"/>
              <w:numPr>
                <w:ilvl w:val="0"/>
                <w:numId w:val="11"/>
              </w:numPr>
              <w:spacing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3" w:type="pct"/>
          </w:tcPr>
          <w:p w:rsidR="00555069" w:rsidRPr="00555069" w:rsidRDefault="00555069" w:rsidP="005550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5069">
              <w:rPr>
                <w:rFonts w:ascii="Times New Roman" w:hAnsi="Times New Roman"/>
                <w:sz w:val="20"/>
                <w:szCs w:val="20"/>
              </w:rPr>
              <w:t>Онконастороженность</w:t>
            </w:r>
            <w:proofErr w:type="spellEnd"/>
            <w:r w:rsidRPr="00555069">
              <w:rPr>
                <w:rFonts w:ascii="Times New Roman" w:hAnsi="Times New Roman"/>
                <w:sz w:val="20"/>
                <w:szCs w:val="20"/>
              </w:rPr>
              <w:t xml:space="preserve"> в стоматологии</w:t>
            </w:r>
          </w:p>
        </w:tc>
        <w:tc>
          <w:tcPr>
            <w:tcW w:w="34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0" w:type="pct"/>
          </w:tcPr>
          <w:p w:rsidR="00555069" w:rsidRPr="00C03BAB" w:rsidRDefault="00555069" w:rsidP="005550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555069" w:rsidRPr="00507616" w:rsidTr="00555069">
        <w:tc>
          <w:tcPr>
            <w:tcW w:w="259" w:type="pct"/>
          </w:tcPr>
          <w:p w:rsidR="00555069" w:rsidRPr="00555069" w:rsidRDefault="00555069" w:rsidP="00555069">
            <w:pPr>
              <w:pStyle w:val="ab"/>
              <w:numPr>
                <w:ilvl w:val="0"/>
                <w:numId w:val="11"/>
              </w:numPr>
              <w:spacing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3" w:type="pct"/>
          </w:tcPr>
          <w:p w:rsidR="00555069" w:rsidRPr="00555069" w:rsidRDefault="00555069" w:rsidP="00555069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5069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4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:rsidR="00555069" w:rsidRPr="00555069" w:rsidRDefault="00555069" w:rsidP="00555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pct"/>
            <w:vAlign w:val="center"/>
          </w:tcPr>
          <w:p w:rsidR="00555069" w:rsidRPr="00F50296" w:rsidRDefault="00555069" w:rsidP="00555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555069" w:rsidRPr="00507616" w:rsidTr="00555069">
        <w:tc>
          <w:tcPr>
            <w:tcW w:w="259" w:type="pct"/>
            <w:vAlign w:val="center"/>
          </w:tcPr>
          <w:p w:rsidR="00555069" w:rsidRPr="00F50296" w:rsidRDefault="00555069" w:rsidP="00555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pct"/>
            <w:vAlign w:val="center"/>
          </w:tcPr>
          <w:p w:rsidR="00555069" w:rsidRPr="00F50296" w:rsidRDefault="00555069" w:rsidP="00555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344" w:type="pct"/>
            <w:vAlign w:val="center"/>
          </w:tcPr>
          <w:p w:rsidR="00555069" w:rsidRPr="00F50296" w:rsidRDefault="00555069" w:rsidP="00555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514" w:type="pct"/>
            <w:vAlign w:val="center"/>
          </w:tcPr>
          <w:p w:rsidR="00555069" w:rsidRPr="00F50296" w:rsidRDefault="00555069" w:rsidP="00555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1030" w:type="pct"/>
            <w:vAlign w:val="center"/>
          </w:tcPr>
          <w:p w:rsidR="00555069" w:rsidRPr="00F50296" w:rsidRDefault="00555069" w:rsidP="00555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D2" w:rsidRDefault="00117CD2">
      <w:pPr>
        <w:spacing w:line="240" w:lineRule="auto"/>
      </w:pPr>
      <w:r>
        <w:separator/>
      </w:r>
    </w:p>
  </w:endnote>
  <w:endnote w:type="continuationSeparator" w:id="0">
    <w:p w:rsidR="00117CD2" w:rsidRDefault="00117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D2" w:rsidRDefault="00117CD2">
      <w:pPr>
        <w:spacing w:line="240" w:lineRule="auto"/>
      </w:pPr>
      <w:r>
        <w:separator/>
      </w:r>
    </w:p>
  </w:footnote>
  <w:footnote w:type="continuationSeparator" w:id="0">
    <w:p w:rsidR="00117CD2" w:rsidRDefault="00117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C35CD9"/>
    <w:multiLevelType w:val="hybridMultilevel"/>
    <w:tmpl w:val="6F08FD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67BFE"/>
    <w:multiLevelType w:val="hybridMultilevel"/>
    <w:tmpl w:val="49940BBE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1513FB"/>
    <w:multiLevelType w:val="hybridMultilevel"/>
    <w:tmpl w:val="7E10B6F8"/>
    <w:lvl w:ilvl="0" w:tplc="C5C6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4D0DD5"/>
    <w:multiLevelType w:val="hybridMultilevel"/>
    <w:tmpl w:val="C944CCC4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2376FB"/>
    <w:multiLevelType w:val="hybridMultilevel"/>
    <w:tmpl w:val="AA728236"/>
    <w:lvl w:ilvl="0" w:tplc="D400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2022C0"/>
    <w:multiLevelType w:val="hybridMultilevel"/>
    <w:tmpl w:val="935E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1004D4"/>
    <w:rsid w:val="0011374B"/>
    <w:rsid w:val="00117CD2"/>
    <w:rsid w:val="00135EEB"/>
    <w:rsid w:val="00142829"/>
    <w:rsid w:val="0014356C"/>
    <w:rsid w:val="00162F4D"/>
    <w:rsid w:val="00170792"/>
    <w:rsid w:val="00170D30"/>
    <w:rsid w:val="001A0D19"/>
    <w:rsid w:val="001B1001"/>
    <w:rsid w:val="001E3288"/>
    <w:rsid w:val="001F3CAE"/>
    <w:rsid w:val="001F64C4"/>
    <w:rsid w:val="00207CB4"/>
    <w:rsid w:val="00224719"/>
    <w:rsid w:val="002275AB"/>
    <w:rsid w:val="002312DE"/>
    <w:rsid w:val="002479CD"/>
    <w:rsid w:val="002648F7"/>
    <w:rsid w:val="002650E8"/>
    <w:rsid w:val="002715D6"/>
    <w:rsid w:val="002D755B"/>
    <w:rsid w:val="00301B67"/>
    <w:rsid w:val="00330858"/>
    <w:rsid w:val="00367375"/>
    <w:rsid w:val="00370265"/>
    <w:rsid w:val="003A42FE"/>
    <w:rsid w:val="003B6B64"/>
    <w:rsid w:val="003D7140"/>
    <w:rsid w:val="003F1D4C"/>
    <w:rsid w:val="00465011"/>
    <w:rsid w:val="00487E0C"/>
    <w:rsid w:val="00490944"/>
    <w:rsid w:val="004A279F"/>
    <w:rsid w:val="004A5A35"/>
    <w:rsid w:val="004B546A"/>
    <w:rsid w:val="004C432B"/>
    <w:rsid w:val="004C7B9A"/>
    <w:rsid w:val="004D0AEB"/>
    <w:rsid w:val="004E4279"/>
    <w:rsid w:val="004F3079"/>
    <w:rsid w:val="00502EB4"/>
    <w:rsid w:val="00507616"/>
    <w:rsid w:val="00512CDE"/>
    <w:rsid w:val="00517E0B"/>
    <w:rsid w:val="00521AAE"/>
    <w:rsid w:val="00555069"/>
    <w:rsid w:val="00557D42"/>
    <w:rsid w:val="0058674F"/>
    <w:rsid w:val="005E33D7"/>
    <w:rsid w:val="005E6235"/>
    <w:rsid w:val="00600888"/>
    <w:rsid w:val="00611E9F"/>
    <w:rsid w:val="006452BF"/>
    <w:rsid w:val="0065547A"/>
    <w:rsid w:val="006917E6"/>
    <w:rsid w:val="006B47A9"/>
    <w:rsid w:val="006C0BEF"/>
    <w:rsid w:val="006C5AA9"/>
    <w:rsid w:val="006D1AB1"/>
    <w:rsid w:val="006E47AF"/>
    <w:rsid w:val="006E7EC7"/>
    <w:rsid w:val="006F74C6"/>
    <w:rsid w:val="0072091F"/>
    <w:rsid w:val="007216FF"/>
    <w:rsid w:val="00727C77"/>
    <w:rsid w:val="00781E04"/>
    <w:rsid w:val="007870F9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3F63"/>
    <w:rsid w:val="00856909"/>
    <w:rsid w:val="008863B4"/>
    <w:rsid w:val="008A2FC7"/>
    <w:rsid w:val="008B0A9A"/>
    <w:rsid w:val="008B50C3"/>
    <w:rsid w:val="008D57E3"/>
    <w:rsid w:val="009058DD"/>
    <w:rsid w:val="00913AD0"/>
    <w:rsid w:val="0092538D"/>
    <w:rsid w:val="00925924"/>
    <w:rsid w:val="00952BD7"/>
    <w:rsid w:val="00955CF6"/>
    <w:rsid w:val="00992BC7"/>
    <w:rsid w:val="0099302A"/>
    <w:rsid w:val="00996CB0"/>
    <w:rsid w:val="009B332D"/>
    <w:rsid w:val="009B3ACE"/>
    <w:rsid w:val="009F5052"/>
    <w:rsid w:val="009F6686"/>
    <w:rsid w:val="009F69A8"/>
    <w:rsid w:val="00A0386E"/>
    <w:rsid w:val="00A56AB5"/>
    <w:rsid w:val="00A802F2"/>
    <w:rsid w:val="00A9606E"/>
    <w:rsid w:val="00A960DA"/>
    <w:rsid w:val="00AD44B1"/>
    <w:rsid w:val="00AD4E96"/>
    <w:rsid w:val="00AE6C74"/>
    <w:rsid w:val="00AF3FA5"/>
    <w:rsid w:val="00B24ACF"/>
    <w:rsid w:val="00B453DC"/>
    <w:rsid w:val="00B66D4B"/>
    <w:rsid w:val="00BC386D"/>
    <w:rsid w:val="00BC5E94"/>
    <w:rsid w:val="00BF72C7"/>
    <w:rsid w:val="00C04B81"/>
    <w:rsid w:val="00C359AF"/>
    <w:rsid w:val="00C41A2C"/>
    <w:rsid w:val="00C70884"/>
    <w:rsid w:val="00CB301E"/>
    <w:rsid w:val="00CD6E3D"/>
    <w:rsid w:val="00CE6BAB"/>
    <w:rsid w:val="00D07318"/>
    <w:rsid w:val="00D73721"/>
    <w:rsid w:val="00DB2991"/>
    <w:rsid w:val="00DC464B"/>
    <w:rsid w:val="00E25C0D"/>
    <w:rsid w:val="00E43A7C"/>
    <w:rsid w:val="00E53685"/>
    <w:rsid w:val="00E81E4A"/>
    <w:rsid w:val="00EA3AD7"/>
    <w:rsid w:val="00EB68B3"/>
    <w:rsid w:val="00EF1592"/>
    <w:rsid w:val="00F50296"/>
    <w:rsid w:val="00F70505"/>
    <w:rsid w:val="00F712C0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9F5052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  <w:style w:type="character" w:customStyle="1" w:styleId="af">
    <w:name w:val="Основной текст с отступом Знак"/>
    <w:basedOn w:val="a0"/>
    <w:link w:val="ae"/>
    <w:rsid w:val="009F5052"/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9F5052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  <w:style w:type="character" w:customStyle="1" w:styleId="af">
    <w:name w:val="Основной текст с отступом Знак"/>
    <w:basedOn w:val="a0"/>
    <w:link w:val="ae"/>
    <w:rsid w:val="009F5052"/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15</cp:revision>
  <dcterms:created xsi:type="dcterms:W3CDTF">2022-07-26T05:54:00Z</dcterms:created>
  <dcterms:modified xsi:type="dcterms:W3CDTF">2022-10-13T08:38:00Z</dcterms:modified>
</cp:coreProperties>
</file>