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12AC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коммуникации. Биомедицинская этика, деонтология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12AC3">
        <w:rPr>
          <w:rFonts w:ascii="Times New Roman" w:hAnsi="Times New Roman" w:cs="Times New Roman"/>
          <w:sz w:val="24"/>
          <w:szCs w:val="24"/>
        </w:rPr>
        <w:t>Профессиональные коммуникации. Биомедицинская этика, деонтология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8E0B15" w:rsidRDefault="00912AC3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91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912AC3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«Профессиональные коммуникации. Биом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едицинская этика, деонтология»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12AC3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обучения специалистов здравоохранения всех специальностей навыкам профессионального  общения с пациентами, повышения уровня коммуникативной компетентности медицинских работников во благо пациента и в целях повышения качества оказания медицинской помощи населению.</w:t>
      </w:r>
    </w:p>
    <w:p w:rsidR="00BC5E94" w:rsidRPr="0086341E" w:rsidRDefault="00D136A1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136A1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D136A1">
        <w:rPr>
          <w:rFonts w:ascii="Times New Roman" w:hAnsi="Times New Roman" w:cs="Times New Roman"/>
          <w:sz w:val="24"/>
          <w:szCs w:val="24"/>
        </w:rPr>
        <w:t xml:space="preserve"> </w:t>
      </w:r>
      <w:r w:rsidR="008E0B15" w:rsidRPr="008E0B1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удовлетворение образовательных потребностей, обеспечение соответствия квалификации меняющимся условиям профессиональной деятельности и социальной среды, а также совершенствование профессиональных компетенций применения этических и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деонтологических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 норм и правил при общении с коллегами, пациентом и его окружением.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Организация здравоохранения и общественное здоровье</w:t>
      </w:r>
      <w:r w:rsidR="00912A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Гигиеническое воспитание,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Дезинфектология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, Косметология, Лабораторная генетика, Лечебная физкультура и спортивная медицина, Лечебное дело</w:t>
      </w:r>
      <w:proofErr w:type="gram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Онкология, Ортодонтия,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Паразитология, Патологическая анатомия, Педиатрия, Педиатрия (после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), Пластическая хирургия,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Радиология, Радиотерапия, Ревматология, Рентгенология,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и лечение, Рефлексотерапия, Сексология, Сердечно-сосудистая хирургия, Сестринское дело, Скорая медицинская помощь, Стоматология</w:t>
      </w:r>
      <w:proofErr w:type="gram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детская, Стоматология общей практики, Стоматология общей практики (после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 xml:space="preserve">),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</w:t>
      </w:r>
      <w:proofErr w:type="spellStart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912AC3" w:rsidRPr="00912AC3">
        <w:rPr>
          <w:rFonts w:ascii="Times New Roman" w:hAnsi="Times New Roman" w:cs="Times New Roman"/>
          <w:sz w:val="24"/>
          <w:szCs w:val="24"/>
          <w:lang w:val="ru-RU"/>
        </w:rPr>
        <w:t>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  <w:r w:rsidR="00912AC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8634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912AC3" w:rsidRPr="00912AC3" w:rsidRDefault="00912AC3" w:rsidP="00912AC3">
      <w:pPr>
        <w:pStyle w:val="ab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AC3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применению в профессиональной деятельности основ биомедицинской этики и деонтологии (ПК-1);</w:t>
      </w:r>
    </w:p>
    <w:p w:rsidR="00912AC3" w:rsidRPr="00912AC3" w:rsidRDefault="00912AC3" w:rsidP="00912AC3">
      <w:pPr>
        <w:pStyle w:val="ab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AC3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эффективному коммуникативному взаимодействию с пациентом и членами его семьи в процессе выполнения должностных обязанностей (ПК-2).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B71DF" w:rsidRPr="00FB71DF" w:rsidRDefault="00FB71DF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12AC3" w:rsidRPr="00912AC3" w:rsidRDefault="00912AC3" w:rsidP="00912A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AC3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912AC3">
        <w:rPr>
          <w:rFonts w:ascii="Times New Roman" w:eastAsia="Times New Roman" w:hAnsi="Times New Roman" w:cs="Times New Roman"/>
          <w:i/>
          <w:sz w:val="24"/>
          <w:szCs w:val="24"/>
        </w:rPr>
        <w:tab/>
        <w:t>Этика и деонтология. Биомедицинская этика.</w:t>
      </w:r>
    </w:p>
    <w:p w:rsidR="00912AC3" w:rsidRPr="00912AC3" w:rsidRDefault="00912AC3" w:rsidP="00912A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AC3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912AC3">
        <w:rPr>
          <w:rFonts w:ascii="Times New Roman" w:eastAsia="Times New Roman" w:hAnsi="Times New Roman" w:cs="Times New Roman"/>
          <w:i/>
          <w:sz w:val="24"/>
          <w:szCs w:val="24"/>
        </w:rPr>
        <w:tab/>
        <w:t>Коммуникативные компетенции.</w:t>
      </w:r>
    </w:p>
    <w:p w:rsidR="00912AC3" w:rsidRPr="00912AC3" w:rsidRDefault="00912AC3" w:rsidP="00912A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12AC3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912AC3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8E0B15" w:rsidRPr="008E0B15" w:rsidRDefault="008E0B15" w:rsidP="008E0B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12AC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ПРОФЕССИОНАЛЬНЫЕ КОММУНИКАЦИИ. БИОМЕДИЦИНСКАЯ ЭТИКА, ДЕОНТОЛОГИЯ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12AC3" w:rsidRPr="00507616" w:rsidTr="0086341E">
        <w:tc>
          <w:tcPr>
            <w:tcW w:w="267" w:type="pct"/>
          </w:tcPr>
          <w:p w:rsidR="00912AC3" w:rsidRPr="00912AC3" w:rsidRDefault="00912AC3" w:rsidP="00912A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45" w:type="pct"/>
          </w:tcPr>
          <w:p w:rsidR="00912AC3" w:rsidRPr="00912AC3" w:rsidRDefault="00912AC3" w:rsidP="00912A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Этика и деонтология. Биомедицинская этика.</w:t>
            </w:r>
          </w:p>
        </w:tc>
        <w:tc>
          <w:tcPr>
            <w:tcW w:w="344" w:type="pct"/>
          </w:tcPr>
          <w:p w:rsidR="00912AC3" w:rsidRPr="00912AC3" w:rsidRDefault="00912AC3" w:rsidP="00912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4" w:type="pct"/>
          </w:tcPr>
          <w:p w:rsidR="00912AC3" w:rsidRPr="00912AC3" w:rsidRDefault="00912AC3" w:rsidP="00912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30" w:type="pct"/>
            <w:vAlign w:val="center"/>
          </w:tcPr>
          <w:p w:rsidR="00912AC3" w:rsidRPr="00F50296" w:rsidRDefault="00912AC3" w:rsidP="00912A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12AC3" w:rsidRPr="00507616" w:rsidTr="0086341E">
        <w:tc>
          <w:tcPr>
            <w:tcW w:w="267" w:type="pct"/>
          </w:tcPr>
          <w:p w:rsidR="00912AC3" w:rsidRPr="00912AC3" w:rsidRDefault="00912AC3" w:rsidP="00912A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45" w:type="pct"/>
          </w:tcPr>
          <w:p w:rsidR="00912AC3" w:rsidRPr="00912AC3" w:rsidRDefault="00912AC3" w:rsidP="00912A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Коммуникативные компетенции.</w:t>
            </w:r>
          </w:p>
        </w:tc>
        <w:tc>
          <w:tcPr>
            <w:tcW w:w="344" w:type="pct"/>
          </w:tcPr>
          <w:p w:rsidR="00912AC3" w:rsidRPr="00912AC3" w:rsidRDefault="00912AC3" w:rsidP="00912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4" w:type="pct"/>
          </w:tcPr>
          <w:p w:rsidR="00912AC3" w:rsidRPr="00912AC3" w:rsidRDefault="00912AC3" w:rsidP="00912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30" w:type="pct"/>
            <w:vAlign w:val="center"/>
          </w:tcPr>
          <w:p w:rsidR="00912AC3" w:rsidRPr="00F50296" w:rsidRDefault="00912AC3" w:rsidP="00912A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12AC3" w:rsidRPr="00507616" w:rsidTr="0086341E">
        <w:tc>
          <w:tcPr>
            <w:tcW w:w="267" w:type="pct"/>
          </w:tcPr>
          <w:p w:rsidR="00912AC3" w:rsidRPr="00912AC3" w:rsidRDefault="00912AC3" w:rsidP="00912A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45" w:type="pct"/>
          </w:tcPr>
          <w:p w:rsidR="00912AC3" w:rsidRPr="00912AC3" w:rsidRDefault="00912AC3" w:rsidP="00912A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аттестация</w:t>
            </w:r>
          </w:p>
          <w:p w:rsidR="00912AC3" w:rsidRPr="00912AC3" w:rsidRDefault="00912AC3" w:rsidP="00912A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</w:tcPr>
          <w:p w:rsidR="00912AC3" w:rsidRPr="00912AC3" w:rsidRDefault="00912AC3" w:rsidP="00912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912AC3" w:rsidRPr="00912AC3" w:rsidRDefault="00912AC3" w:rsidP="00912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912AC3" w:rsidRPr="00F50296" w:rsidRDefault="00912AC3" w:rsidP="00912A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86" w:rsidRDefault="00295486">
      <w:pPr>
        <w:spacing w:line="240" w:lineRule="auto"/>
      </w:pPr>
      <w:r>
        <w:separator/>
      </w:r>
    </w:p>
  </w:endnote>
  <w:endnote w:type="continuationSeparator" w:id="0">
    <w:p w:rsidR="00295486" w:rsidRDefault="0029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86" w:rsidRDefault="00295486">
      <w:pPr>
        <w:spacing w:line="240" w:lineRule="auto"/>
      </w:pPr>
      <w:r>
        <w:separator/>
      </w:r>
    </w:p>
  </w:footnote>
  <w:footnote w:type="continuationSeparator" w:id="0">
    <w:p w:rsidR="00295486" w:rsidRDefault="00295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356"/>
    <w:multiLevelType w:val="hybridMultilevel"/>
    <w:tmpl w:val="6172C5DA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B19C8"/>
    <w:multiLevelType w:val="hybridMultilevel"/>
    <w:tmpl w:val="8AA430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C334AD"/>
    <w:multiLevelType w:val="hybridMultilevel"/>
    <w:tmpl w:val="08CE3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7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17"/>
  </w:num>
  <w:num w:numId="11">
    <w:abstractNumId w:val="16"/>
  </w:num>
  <w:num w:numId="12">
    <w:abstractNumId w:val="5"/>
  </w:num>
  <w:num w:numId="13">
    <w:abstractNumId w:val="15"/>
  </w:num>
  <w:num w:numId="14">
    <w:abstractNumId w:val="19"/>
  </w:num>
  <w:num w:numId="15">
    <w:abstractNumId w:val="18"/>
  </w:num>
  <w:num w:numId="16">
    <w:abstractNumId w:val="8"/>
  </w:num>
  <w:num w:numId="17">
    <w:abstractNumId w:val="1"/>
  </w:num>
  <w:num w:numId="18">
    <w:abstractNumId w:val="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9548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C6A06"/>
    <w:rsid w:val="008D57E3"/>
    <w:rsid w:val="008E0B15"/>
    <w:rsid w:val="009058DD"/>
    <w:rsid w:val="00912AC3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D60CD"/>
    <w:rsid w:val="00BF72C7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21</cp:revision>
  <dcterms:created xsi:type="dcterms:W3CDTF">2022-07-26T05:54:00Z</dcterms:created>
  <dcterms:modified xsi:type="dcterms:W3CDTF">2022-09-26T09:07:00Z</dcterms:modified>
</cp:coreProperties>
</file>