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Дополнительная профессиональная программа</w:t>
      </w:r>
      <w:r/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повышения квалификации</w:t>
      </w:r>
      <w:r/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Детская анестезиология и интенсивная терапия, неотложные состояния в неонатологии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»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Аннотация (описание курса)</w:t>
      </w:r>
      <w:bookmarkStart w:id="0" w:name="_heading=h.gjdgxs"/>
      <w:r/>
      <w:bookmarkEnd w:id="0"/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урс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повышения квалификации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Детская анестезиология и интенсивная терапия, неотложные состояния в неонатологии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объеме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144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академических час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реализуется в форме заочного обучения с применением дистанционных образовательных технологий.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r>
      <w:r/>
    </w:p>
    <w:p>
      <w:pPr>
        <w:ind w:firstLine="708"/>
        <w:jc w:val="center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АККРЕДИТОВАНА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+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144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  <w:r/>
    </w:p>
    <w:p>
      <w:pPr>
        <w:ind w:firstLine="708"/>
        <w:jc w:val="both"/>
        <w:spacing w:line="240" w:lineRule="auto"/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  <w:outlineLvl w:val="2"/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дополнительной профессиональной программы повышения квалификации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Детская анестезиология и интенсивная терапия, неотложные состояния в неонатологии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обусловлена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необходимостью неуклонного совершенствования профессиональных    компетенций врачей анестезиологов-реаниматологов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 вопросам оказания медицинской помощи пациентам как вне медицинских организаций, так и в стационарных условиях по профилю «анестезиология-реаниматология».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Специалистам необходимо углубление знаний по основным профессиональным проблемам с учетом современных исследований и открытий, методов диагностики и лечения соответственно современным стандартам оказания квалифицированной помощи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и профессиональных потребностей, обеспечение соответствия квалификации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врачей анестезиологов-реаниматологов меняющимся условиям профессиональной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и социальной среды; совершенствование и углубление профессиональных компетенций, необходимых для профессиональной деятельности, и повышения профессионального уровня в рамках имеющейся квалификации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«Анестезиология-реаниматология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имеющие в</w:t>
      </w:r>
      <w:r>
        <w:rPr>
          <w:rFonts w:ascii="Times New Roman" w:hAnsi="Times New Roman" w:cs="Times New Roman"/>
          <w:sz w:val="24"/>
          <w:szCs w:val="24"/>
        </w:rPr>
        <w:t xml:space="preserve">ысшее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медицинское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Анестезиология и реаниматология</w:t>
      </w:r>
      <w:r>
        <w:rPr>
          <w:rFonts w:ascii="Times New Roman" w:hAnsi="Times New Roman" w:eastAsia="Times New Roman"/>
          <w:bCs/>
          <w:sz w:val="24"/>
          <w:szCs w:val="24"/>
          <w:lang w:val="ru-RU"/>
        </w:rPr>
        <w:t xml:space="preserve">»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Результаты обучения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/>
    </w:p>
    <w:p>
      <w:pPr>
        <w:pStyle w:val="766"/>
        <w:ind w:left="0"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Программа направлена на совершенствование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следующих </w:t>
      </w:r>
      <w:r>
        <w:rPr>
          <w:rFonts w:ascii="Times New Roman" w:hAnsi="Times New Roman"/>
          <w:bCs/>
          <w:sz w:val="24"/>
          <w:szCs w:val="24"/>
        </w:rPr>
        <w:t xml:space="preserve">профессиональных компетенций (далее - ПК):</w:t>
      </w:r>
      <w:r/>
    </w:p>
    <w:p>
      <w:pPr>
        <w:pStyle w:val="766"/>
        <w:numPr>
          <w:ilvl w:val="0"/>
          <w:numId w:val="16"/>
        </w:numPr>
        <w:ind w:left="0"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  <w:r/>
    </w:p>
    <w:p>
      <w:pPr>
        <w:pStyle w:val="766"/>
        <w:numPr>
          <w:ilvl w:val="0"/>
          <w:numId w:val="16"/>
        </w:numPr>
        <w:ind w:left="0"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ПК-6: </w:t>
      </w:r>
      <w:r>
        <w:rPr>
          <w:rFonts w:ascii="Times New Roman" w:hAnsi="Times New Roman"/>
          <w:bCs/>
          <w:sz w:val="24"/>
          <w:szCs w:val="24"/>
        </w:rPr>
        <w:t xml:space="preserve">готовность к применению комплекса анестезиологических и (или) реанимационных  мероприятий</w:t>
      </w:r>
      <w:r>
        <w:rPr>
          <w:rFonts w:ascii="Times New Roman" w:hAnsi="Times New Roman"/>
          <w:bCs/>
          <w:iCs/>
          <w:sz w:val="24"/>
          <w:szCs w:val="24"/>
        </w:rPr>
        <w:t xml:space="preserve">.</w:t>
      </w:r>
      <w:r/>
    </w:p>
    <w:p>
      <w:pPr>
        <w:pStyle w:val="766"/>
        <w:numPr>
          <w:ilvl w:val="0"/>
          <w:numId w:val="16"/>
        </w:numPr>
        <w:ind w:left="0"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/>
          <w:bCs/>
          <w:sz w:val="24"/>
          <w:szCs w:val="24"/>
        </w:rPr>
      </w:pPr>
      <w:r/>
      <w:bookmarkStart w:id="1" w:name="sub_5310"/>
      <w:r>
        <w:rPr>
          <w:rFonts w:ascii="Times New Roman" w:hAnsi="Times New Roman"/>
          <w:bCs/>
          <w:sz w:val="24"/>
          <w:szCs w:val="24"/>
        </w:rPr>
        <w:t xml:space="preserve">ПК-10: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  <w:r/>
    </w:p>
    <w:p>
      <w:pPr>
        <w:pStyle w:val="766"/>
        <w:numPr>
          <w:ilvl w:val="0"/>
          <w:numId w:val="16"/>
        </w:numPr>
        <w:ind w:left="0"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/>
          <w:bCs/>
          <w:sz w:val="24"/>
          <w:szCs w:val="24"/>
        </w:rPr>
      </w:pPr>
      <w:r/>
      <w:bookmarkStart w:id="2" w:name="sub_5311"/>
      <w:r/>
      <w:bookmarkEnd w:id="1"/>
      <w:r>
        <w:rPr>
          <w:rFonts w:ascii="Times New Roman" w:hAnsi="Times New Roman"/>
          <w:bCs/>
          <w:sz w:val="24"/>
          <w:szCs w:val="24"/>
        </w:rPr>
        <w:t xml:space="preserve">ПК-11: готовность к участию в оценке качества оказания медицинской помощи с использованием основных медико-статистических показателей.</w:t>
      </w:r>
      <w:bookmarkEnd w:id="2"/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Содержание программы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построено с учетом нормативно-правовых документов, регламентирующих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содержание и структуру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повышения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квалификации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реализуется через модули:</w:t>
      </w:r>
      <w:r/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1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Организация службы детской анестезиологии и интенсивной терапии</w:t>
      </w:r>
      <w:r/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2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Анатомо-физиологические особенности детского организма с точки зрения анестезиолога</w:t>
      </w:r>
      <w:r/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3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Общие вопросы детской анестезиологии</w:t>
      </w:r>
      <w:r/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4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Фармакологические средства, используемые во время анестезии и интенсивной терапии</w:t>
      </w:r>
      <w:r/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5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Общие вопросы анестезиологии</w:t>
      </w:r>
      <w:r/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6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Промежуточная аттестация</w:t>
      </w:r>
      <w:r/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7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Особенности анестезии в специализированных областях детской хирургии</w:t>
      </w:r>
      <w:r/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8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Реанимация и интенсивная терапия у детей</w:t>
      </w:r>
      <w:r/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9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Интенсивная терапия экстремальных ситуаций.</w:t>
      </w:r>
      <w:r/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10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Анестезиологическое пособие при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политравме</w:t>
      </w:r>
      <w:r/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11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Базовые и расширенные реанимационные мероприятия у детей с подозрением на covid-19 или подтвержденным диагнозом</w:t>
      </w:r>
      <w:r/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12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Итоговая аттестация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. </w:t>
      </w:r>
      <w:r/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r>
      <w:r/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По завершении обучения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слушатель получает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у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достоверение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о повышении квалификации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установленного образца.</w:t>
      </w:r>
      <w:r/>
    </w:p>
    <w:p>
      <w:pPr>
        <w:ind w:hanging="2"/>
        <w:jc w:val="right"/>
        <w:rPr>
          <w:rFonts w:ascii="Times New Roman" w:hAnsi="Times New Roman" w:eastAsia="Times New Roman" w:cs="Times New Roman"/>
          <w:i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Стоимость обучения: 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9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0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00 рублей</w:t>
      </w:r>
      <w:r/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r>
        <w:br w:type="page" w:clear="all"/>
      </w:r>
      <w:r/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>
        <w:trPr/>
        <w:tc>
          <w:tcPr>
            <w:tcW w:w="666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page" w:clear="all"/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highlight w:val="yellow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r>
            <w:r/>
          </w:p>
        </w:tc>
        <w:tc>
          <w:tcPr>
            <w:tcW w:w="37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val="ru-RU"/>
              </w:rPr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val="ru-RU"/>
              </w:rPr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val="ru-RU"/>
              </w:rPr>
              <w:t xml:space="preserve">УТВЕРЖДАЮ</w:t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Директор</w:t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___________/Брехач Р.А./</w:t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ноября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г.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</w:r>
            <w:r/>
          </w:p>
        </w:tc>
      </w:tr>
    </w:tbl>
    <w:p>
      <w:pPr>
        <w:ind w:hanging="2"/>
        <w:jc w:val="center"/>
        <w:keepNext/>
        <w:rPr>
          <w:rFonts w:ascii="Times New Roman" w:hAnsi="Times New Roman" w:cs="Times New Roman"/>
          <w:b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/>
    </w:p>
    <w:p>
      <w:pPr>
        <w:ind w:hanging="2"/>
        <w:jc w:val="center"/>
        <w:keepNext/>
        <w:rPr>
          <w:rFonts w:ascii="Times New Roman" w:hAnsi="Times New Roman" w:cs="Times New Roman"/>
          <w:b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/>
    </w:p>
    <w:p>
      <w:pPr>
        <w:ind w:hanging="2"/>
        <w:jc w:val="center"/>
        <w:keepNext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</w:t>
      </w:r>
      <w:r/>
    </w:p>
    <w:p>
      <w:pPr>
        <w:ind w:hanging="2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  <w:r/>
    </w:p>
    <w:p>
      <w:pPr>
        <w:ind w:hanging="2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  <w:r/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Детская анестезиология и интенсивная терапия, неотложные состояния в неонатологии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»</w:t>
      </w:r>
      <w:r/>
    </w:p>
    <w:p>
      <w:pP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трудоемкость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>
        <w:rPr>
          <w:rFonts w:ascii="Times New Roman" w:hAnsi="Times New Roman" w:cs="Times New Roman"/>
          <w:sz w:val="24"/>
          <w:szCs w:val="24"/>
        </w:rPr>
        <w:t xml:space="preserve">час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</w:t>
      </w:r>
      <w:r/>
    </w:p>
    <w:p>
      <w:pP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(форма обучения: заочная)</w:t>
      </w:r>
      <w:r/>
    </w:p>
    <w:p>
      <w:pP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tbl>
      <w:tblPr>
        <w:tblStyle w:val="771"/>
        <w:tblW w:w="0" w:type="auto"/>
        <w:tblLook w:val="04A0" w:firstRow="1" w:lastRow="0" w:firstColumn="1" w:lastColumn="0" w:noHBand="0" w:noVBand="1"/>
      </w:tblPr>
      <w:tblGrid>
        <w:gridCol w:w="799"/>
        <w:gridCol w:w="5241"/>
        <w:gridCol w:w="1117"/>
        <w:gridCol w:w="1184"/>
        <w:gridCol w:w="2118"/>
      </w:tblGrid>
      <w:tr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pacing w:val="1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модулей</w:t>
            </w:r>
            <w:r>
              <w:rPr>
                <w:rFonts w:ascii="Times New Roman" w:hAnsi="Times New Roman" w:cs="Times New Roman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разделов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Всего часов</w:t>
            </w:r>
            <w:r/>
          </w:p>
        </w:tc>
        <w:tc>
          <w:tcPr>
            <w:tcW w:w="12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ДОТ и ЭО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контроля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службы детской анестезиологии и интенсивной терапии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1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Анатомо-физиологические особенности детского организма с точки зрения анестезиолога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1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вопросы детской анестезиологии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1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Фармакологические средства, используемые во время анестезии и интенсивной терапии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1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вопросы анестезиологии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1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Промежуточная аттестация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W w:w="1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Промежуточное тестирование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анестезии в специализированных областях детской хирургии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/>
          </w:p>
        </w:tc>
        <w:tc>
          <w:tcPr>
            <w:tcW w:w="1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Реанимация и интенсивная терапия у детей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</w:t>
            </w:r>
            <w:r/>
          </w:p>
        </w:tc>
        <w:tc>
          <w:tcPr>
            <w:tcW w:w="1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Интенсивная терапия экстремальных ситуаций.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tcW w:w="1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Анестезиологическое пособие при </w:t>
            </w:r>
            <w:r>
              <w:rPr>
                <w:rFonts w:ascii="Times New Roman" w:hAnsi="Times New Roman" w:cs="Times New Roman"/>
              </w:rPr>
              <w:t xml:space="preserve">политравме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1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Базовые и расширенные реанимационные мероприятия у детей с подозрением на covid-19 или подтвержденным диагнозом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1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аттестация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W w:w="1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Итоговое тестирование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144</w:t>
            </w:r>
            <w:r/>
          </w:p>
        </w:tc>
        <w:tc>
          <w:tcPr>
            <w:tcW w:w="12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144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</w:tr>
    </w:tbl>
    <w:p>
      <w:pP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9" w:h="16834" w:orient="portrait"/>
      <w:pgMar w:top="720" w:right="720" w:bottom="720" w:left="720" w:header="0" w:footer="147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5040102010807070707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701"/>
      <w:spacing w:line="240" w:lineRule="auto"/>
      <w:tabs>
        <w:tab w:val="center" w:pos="4677" w:leader="none"/>
        <w:tab w:val="right" w:pos="9355" w:leader="none"/>
      </w:tabs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val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6372713" cy="800100"/>
              <wp:effectExtent l="0" t="0" r="0" b="0"/>
              <wp:docPr id="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372713" cy="8001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501.8pt;height:63.0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275"/>
      <w:spacing w:line="240" w:lineRule="auto"/>
      <w:tabs>
        <w:tab w:val="center" w:pos="4677" w:leader="none"/>
        <w:tab w:val="right" w:pos="9355" w:leader="none"/>
      </w:tabs>
    </w:pPr>
    <w:r>
      <w:rPr>
        <w:lang w:val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-22860</wp:posOffset>
              </wp:positionV>
              <wp:extent cx="11418570" cy="831215"/>
              <wp:effectExtent l="0" t="0" r="0" b="6985"/>
              <wp:wrapSquare wrapText="bothSides"/>
              <wp:docPr id="1" name="Рисунок 1" descr="C:\Users\pro004\Desktop\АТА\1-ИП к программам\ИП  ЕРЛ\Едурегионлаб для ИП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ro004\Desktop\АТА\1-ИП к программам\ИП  ЕРЛ\Едурегионлаб для ИП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418570" cy="83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page;margin-left:0.0pt;mso-position-horizontal:absolute;mso-position-vertical-relative:text;margin-top:-1.8pt;mso-position-vertical:absolute;width:899.1pt;height:65.5pt;mso-wrap-distance-left:9.0pt;mso-wrap-distance-top:0.0pt;mso-wrap-distance-right:9.0pt;mso-wrap-distance-bottom:0.0pt;" stroked="f">
              <v:path textboxrect="0,0,0,0"/>
              <w10:wrap type="square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-3"/>
    </w:pPr>
    <w:r>
      <w:rPr>
        <w:lang w:val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529888" cy="800100"/>
              <wp:effectExtent l="0" t="0" r="0" b="0"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29888" cy="8001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592.9pt;height:63.0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8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8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8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6"/>
  </w:num>
  <w:num w:numId="7">
    <w:abstractNumId w:val="10"/>
  </w:num>
  <w:num w:numId="8">
    <w:abstractNumId w:val="12"/>
  </w:num>
  <w:num w:numId="9">
    <w:abstractNumId w:val="7"/>
  </w:num>
  <w:num w:numId="10">
    <w:abstractNumId w:val="15"/>
  </w:num>
  <w:num w:numId="11">
    <w:abstractNumId w:val="9"/>
  </w:num>
  <w:num w:numId="12">
    <w:abstractNumId w:val="3"/>
  </w:num>
  <w:num w:numId="13">
    <w:abstractNumId w:val="13"/>
  </w:num>
  <w:num w:numId="14">
    <w:abstractNumId w:val="2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52"/>
    <w:link w:val="746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52"/>
    <w:link w:val="747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52"/>
    <w:link w:val="748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52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52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52"/>
    <w:link w:val="751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45"/>
    <w:next w:val="74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5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45"/>
    <w:next w:val="74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5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45"/>
    <w:next w:val="74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5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752"/>
    <w:link w:val="756"/>
    <w:uiPriority w:val="10"/>
    <w:rPr>
      <w:sz w:val="48"/>
      <w:szCs w:val="48"/>
    </w:rPr>
  </w:style>
  <w:style w:type="character" w:styleId="36">
    <w:name w:val="Subtitle Char"/>
    <w:basedOn w:val="752"/>
    <w:link w:val="758"/>
    <w:uiPriority w:val="11"/>
    <w:rPr>
      <w:sz w:val="24"/>
      <w:szCs w:val="24"/>
    </w:rPr>
  </w:style>
  <w:style w:type="paragraph" w:styleId="37">
    <w:name w:val="Quote"/>
    <w:basedOn w:val="745"/>
    <w:next w:val="74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45"/>
    <w:next w:val="74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52"/>
    <w:link w:val="760"/>
    <w:uiPriority w:val="99"/>
  </w:style>
  <w:style w:type="character" w:styleId="44">
    <w:name w:val="Footer Char"/>
    <w:basedOn w:val="752"/>
    <w:link w:val="762"/>
    <w:uiPriority w:val="99"/>
  </w:style>
  <w:style w:type="paragraph" w:styleId="45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62"/>
    <w:uiPriority w:val="99"/>
  </w:style>
  <w:style w:type="table" w:styleId="48">
    <w:name w:val="Table Grid Light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4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52"/>
    <w:uiPriority w:val="99"/>
    <w:unhideWhenUsed/>
    <w:rPr>
      <w:vertAlign w:val="superscript"/>
    </w:rPr>
  </w:style>
  <w:style w:type="paragraph" w:styleId="177">
    <w:name w:val="endnote text"/>
    <w:basedOn w:val="74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52"/>
    <w:uiPriority w:val="99"/>
    <w:semiHidden/>
    <w:unhideWhenUsed/>
    <w:rPr>
      <w:vertAlign w:val="superscript"/>
    </w:rPr>
  </w:style>
  <w:style w:type="paragraph" w:styleId="180">
    <w:name w:val="toc 1"/>
    <w:basedOn w:val="745"/>
    <w:next w:val="74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45"/>
    <w:next w:val="74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45"/>
    <w:next w:val="74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45"/>
    <w:next w:val="74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45"/>
    <w:next w:val="74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45"/>
    <w:next w:val="74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45"/>
    <w:next w:val="74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45"/>
    <w:next w:val="74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45"/>
    <w:next w:val="74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45"/>
    <w:next w:val="745"/>
    <w:uiPriority w:val="99"/>
    <w:unhideWhenUsed/>
    <w:pPr>
      <w:spacing w:after="0" w:afterAutospacing="0"/>
    </w:pPr>
  </w:style>
  <w:style w:type="paragraph" w:styleId="745" w:default="1">
    <w:name w:val="Normal"/>
  </w:style>
  <w:style w:type="paragraph" w:styleId="746">
    <w:name w:val="Heading 1"/>
    <w:basedOn w:val="745"/>
    <w:next w:val="745"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747">
    <w:name w:val="Heading 2"/>
    <w:basedOn w:val="745"/>
    <w:next w:val="745"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748">
    <w:name w:val="Heading 3"/>
    <w:basedOn w:val="745"/>
    <w:next w:val="745"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749">
    <w:name w:val="Heading 4"/>
    <w:basedOn w:val="745"/>
    <w:next w:val="745"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750">
    <w:name w:val="Heading 5"/>
    <w:basedOn w:val="745"/>
    <w:next w:val="745"/>
    <w:pPr>
      <w:keepLines/>
      <w:keepNext/>
      <w:spacing w:before="240" w:after="80"/>
      <w:outlineLvl w:val="4"/>
    </w:pPr>
    <w:rPr>
      <w:color w:val="666666"/>
    </w:rPr>
  </w:style>
  <w:style w:type="paragraph" w:styleId="751">
    <w:name w:val="Heading 6"/>
    <w:basedOn w:val="745"/>
    <w:next w:val="745"/>
    <w:pPr>
      <w:keepLines/>
      <w:keepNext/>
      <w:spacing w:before="240" w:after="80"/>
      <w:outlineLvl w:val="5"/>
    </w:pPr>
    <w:rPr>
      <w:i/>
      <w:color w:val="666666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table" w:styleId="75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56">
    <w:name w:val="Title"/>
    <w:basedOn w:val="745"/>
    <w:next w:val="745"/>
    <w:pPr>
      <w:keepLines/>
      <w:keepNext/>
      <w:spacing w:after="60"/>
    </w:pPr>
    <w:rPr>
      <w:sz w:val="52"/>
      <w:szCs w:val="52"/>
    </w:rPr>
  </w:style>
  <w:style w:type="table" w:styleId="75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58">
    <w:name w:val="Subtitle"/>
    <w:basedOn w:val="745"/>
    <w:next w:val="745"/>
    <w:pPr>
      <w:keepLines/>
      <w:keepNext/>
      <w:spacing w:after="320"/>
    </w:pPr>
    <w:rPr>
      <w:color w:val="666666"/>
      <w:sz w:val="30"/>
      <w:szCs w:val="30"/>
    </w:rPr>
  </w:style>
  <w:style w:type="table" w:styleId="759" w:customStyle="1">
    <w:name w:val="StGen0"/>
    <w:basedOn w:val="75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760">
    <w:name w:val="Header"/>
    <w:basedOn w:val="745"/>
    <w:link w:val="761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61" w:customStyle="1">
    <w:name w:val="Верхний колонтитул Знак"/>
    <w:basedOn w:val="752"/>
    <w:link w:val="760"/>
    <w:uiPriority w:val="99"/>
  </w:style>
  <w:style w:type="paragraph" w:styleId="762">
    <w:name w:val="Footer"/>
    <w:basedOn w:val="745"/>
    <w:link w:val="763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63" w:customStyle="1">
    <w:name w:val="Нижний колонтитул Знак"/>
    <w:basedOn w:val="752"/>
    <w:link w:val="762"/>
    <w:uiPriority w:val="99"/>
  </w:style>
  <w:style w:type="character" w:styleId="764">
    <w:name w:val="Strong"/>
    <w:basedOn w:val="752"/>
    <w:uiPriority w:val="22"/>
    <w:qFormat/>
    <w:rPr>
      <w:b/>
      <w:bCs/>
    </w:rPr>
  </w:style>
  <w:style w:type="paragraph" w:styleId="765" w:customStyle="1">
    <w:name w:val="ConsPlusNormal"/>
    <w:qFormat/>
    <w:pPr>
      <w:ind w:firstLine="720"/>
      <w:spacing w:line="240" w:lineRule="auto"/>
      <w:widowControl w:val="off"/>
    </w:pPr>
    <w:rPr>
      <w:rFonts w:eastAsia="Times New Roman"/>
      <w:sz w:val="20"/>
      <w:szCs w:val="20"/>
      <w:lang w:val="ru-RU"/>
    </w:rPr>
  </w:style>
  <w:style w:type="paragraph" w:styleId="766">
    <w:name w:val="List Paragraph"/>
    <w:basedOn w:val="745"/>
    <w:link w:val="777"/>
    <w:uiPriority w:val="34"/>
    <w:qFormat/>
    <w:pPr>
      <w:contextualSpacing/>
      <w:ind w:left="720"/>
    </w:pPr>
  </w:style>
  <w:style w:type="paragraph" w:styleId="767" w:customStyle="1">
    <w:name w:val="ConsPlusTitle"/>
    <w:pPr>
      <w:spacing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val="ru-RU" w:eastAsia="ar-SA"/>
    </w:rPr>
  </w:style>
  <w:style w:type="paragraph" w:styleId="768" w:customStyle="1">
    <w:name w:val="Style7"/>
    <w:basedOn w:val="745"/>
    <w:pPr>
      <w:ind w:firstLine="720"/>
      <w:jc w:val="both"/>
      <w:spacing w:line="317" w:lineRule="exact"/>
      <w:widowControl w:val="off"/>
    </w:pPr>
    <w:rPr>
      <w:rFonts w:ascii="Calibri" w:hAnsi="Calibri" w:eastAsia="Times New Roman" w:cs="Times New Roman"/>
      <w:sz w:val="24"/>
      <w:szCs w:val="24"/>
      <w:lang w:val="en-US" w:eastAsia="en-US" w:bidi="en-US"/>
    </w:rPr>
  </w:style>
  <w:style w:type="paragraph" w:styleId="769">
    <w:name w:val="Balloon Text"/>
    <w:basedOn w:val="745"/>
    <w:link w:val="770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770" w:customStyle="1">
    <w:name w:val="Текст выноски Знак"/>
    <w:basedOn w:val="752"/>
    <w:link w:val="769"/>
    <w:uiPriority w:val="99"/>
    <w:semiHidden/>
    <w:rPr>
      <w:rFonts w:ascii="Tahoma" w:hAnsi="Tahoma" w:cs="Tahoma"/>
      <w:sz w:val="16"/>
      <w:szCs w:val="16"/>
    </w:rPr>
  </w:style>
  <w:style w:type="table" w:styleId="771">
    <w:name w:val="Table Grid"/>
    <w:basedOn w:val="753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72">
    <w:name w:val="Body Text Indent"/>
    <w:basedOn w:val="745"/>
    <w:link w:val="773"/>
    <w:pPr>
      <w:ind w:left="283"/>
      <w:spacing w:after="120" w:line="240" w:lineRule="auto"/>
      <w:widowControl w:val="off"/>
    </w:pPr>
    <w:rPr>
      <w:rFonts w:ascii="Courier New" w:hAnsi="Courier New" w:eastAsia="Times New Roman" w:cs="Times New Roman"/>
      <w:color w:val="000000"/>
      <w:sz w:val="24"/>
      <w:szCs w:val="20"/>
      <w:lang w:val="ru-RU" w:eastAsia="en-US"/>
    </w:rPr>
  </w:style>
  <w:style w:type="character" w:styleId="773" w:customStyle="1">
    <w:name w:val="Основной текст с отступом Знак"/>
    <w:basedOn w:val="752"/>
    <w:link w:val="772"/>
    <w:rPr>
      <w:rFonts w:ascii="Courier New" w:hAnsi="Courier New" w:eastAsia="Times New Roman" w:cs="Times New Roman"/>
      <w:color w:val="000000"/>
      <w:sz w:val="24"/>
      <w:szCs w:val="20"/>
      <w:lang w:val="ru-RU" w:eastAsia="en-US"/>
    </w:rPr>
  </w:style>
  <w:style w:type="paragraph" w:styleId="774">
    <w:name w:val="Normal (Web)"/>
    <w:basedOn w:val="745"/>
    <w:link w:val="775"/>
    <w:uiPriority w:val="34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775" w:customStyle="1">
    <w:name w:val="Обычный (Интернет) Знак"/>
    <w:link w:val="774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776" w:customStyle="1">
    <w:name w:val="Font Style12"/>
    <w:uiPriority w:val="99"/>
    <w:rPr>
      <w:rFonts w:ascii="Times New Roman" w:hAnsi="Times New Roman"/>
      <w:sz w:val="18"/>
    </w:rPr>
  </w:style>
  <w:style w:type="character" w:styleId="777" w:customStyle="1">
    <w:name w:val="Абзац списка Знак"/>
    <w:link w:val="766"/>
    <w:uiPriority w:val="3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Карпова</cp:lastModifiedBy>
  <cp:revision>3</cp:revision>
  <dcterms:created xsi:type="dcterms:W3CDTF">2023-01-10T12:26:00Z</dcterms:created>
  <dcterms:modified xsi:type="dcterms:W3CDTF">2023-01-10T12:36:39Z</dcterms:modified>
</cp:coreProperties>
</file>