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Дополнительная профессиональная программа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повышения квалификации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Пациентоориентированность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Аннотация (описание курса)</w:t>
      </w:r>
      <w:bookmarkStart w:id="0" w:name="_heading=h.gjdgxs"/>
      <w:r/>
      <w:bookmarkEnd w:id="0"/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урс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повышения квалификации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Пациентоориентированность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практике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36 академических часов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реализуется в форме заочного обучения с применением дистанционных образовательных технологий.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r>
      <w:r/>
    </w:p>
    <w:p>
      <w:pPr>
        <w:ind w:firstLine="708"/>
        <w:jc w:val="center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АККРЕДИТОВАНА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+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36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  <w:r/>
    </w:p>
    <w:p>
      <w:pPr>
        <w:pStyle w:val="784"/>
        <w:ind w:left="110" w:firstLine="0"/>
        <w:jc w:val="both"/>
        <w:spacing w:line="248" w:lineRule="exact"/>
      </w:pPr>
      <w:r>
        <w:rPr>
          <w:i/>
          <w:sz w:val="24"/>
          <w:szCs w:val="24"/>
          <w:shd w:val="clear" w:color="auto" w:fill="ffffff"/>
        </w:rPr>
        <w:t xml:space="preserve">Актуальность программы </w:t>
      </w:r>
      <w:r>
        <w:rPr>
          <w:sz w:val="24"/>
          <w:szCs w:val="24"/>
        </w:rPr>
        <w:t xml:space="preserve">обусловлена </w:t>
      </w:r>
      <w:r>
        <w:rPr>
          <w:sz w:val="24"/>
          <w:szCs w:val="24"/>
        </w:rPr>
        <w:t xml:space="preserve">необходимостью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внедрения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пациентоориентированных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медицинские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процессы</w:t>
      </w:r>
      <w:r>
        <w:rPr>
          <w:sz w:val="24"/>
          <w:szCs w:val="24"/>
          <w:shd w:val="clear" w:color="auto" w:fill="ffffff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удовлетворении образовательных потребностей,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обеспечении соответствия квалификации меняющимся условиям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здравоохранения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внедрения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пациентоориентированных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медицинские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пециалисты</w:t>
      </w:r>
      <w:r>
        <w:rPr>
          <w:rFonts w:ascii="Times New Roman" w:hAnsi="Times New Roman" w:cs="Times New Roman"/>
          <w:sz w:val="24"/>
          <w:szCs w:val="24"/>
        </w:rPr>
        <w:t xml:space="preserve"> с высшим </w:t>
      </w:r>
      <w:r>
        <w:rPr>
          <w:rFonts w:ascii="Times New Roman" w:hAnsi="Times New Roman" w:cs="Times New Roman"/>
          <w:sz w:val="24"/>
          <w:szCs w:val="24"/>
        </w:rPr>
        <w:t xml:space="preserve">медицинским образованием по одной из специальностей: </w:t>
      </w:r>
      <w:r>
        <w:rPr>
          <w:rFonts w:ascii="Times New Roman" w:hAnsi="Times New Roman"/>
          <w:sz w:val="24"/>
          <w:szCs w:val="24"/>
          <w:lang w:val="ru-RU"/>
        </w:rPr>
        <w:t xml:space="preserve">Терапия, </w:t>
      </w:r>
      <w:r>
        <w:rPr>
          <w:rFonts w:ascii="Times New Roman" w:hAnsi="Times New Roman"/>
          <w:sz w:val="24"/>
          <w:szCs w:val="24"/>
          <w:lang w:val="ru-RU"/>
        </w:rPr>
        <w:t xml:space="preserve">Авиационная и космическая медицина, Акушерство и гинекология, Аллергология и иммунология, Анестезиология-реаниматология, Бактериология, Вирусология, Водолазная медицина, Гастроэнтерология, Гематология, Генетика, Гериатрия, Гигиена </w:t>
      </w:r>
      <w:r>
        <w:rPr>
          <w:rFonts w:ascii="Times New Roman" w:hAnsi="Times New Roman"/>
          <w:sz w:val="24"/>
          <w:szCs w:val="24"/>
          <w:lang w:val="ru-RU"/>
        </w:rPr>
        <w:t xml:space="preserve">детей и подростков, Гигиена питания, Гигиена труда, Гигиеническое воспитание, Дезинфектология, Дерматовенерология, Детская кардиология, Детская онкология, Детская онкология-гематология, Детская урология-андрология, Детская хирургия, Детская эндокринология,</w:t>
      </w:r>
      <w:r>
        <w:rPr>
          <w:rFonts w:ascii="Times New Roman" w:hAnsi="Times New Roman"/>
          <w:sz w:val="24"/>
          <w:szCs w:val="24"/>
          <w:lang w:val="ru-RU"/>
        </w:rPr>
        <w:t xml:space="preserve"> Диетология, Инфекционные болезни, Кардиология, Клиническая лабораторная диагностика, Клиническая фармакология, Колопроктология, Коммунальная гигиена, Косметология, Лабораторная генетика, Лечебная физкультура и спортивная медицина, Лечебное дело, Мануальна</w:t>
      </w:r>
      <w:r>
        <w:rPr>
          <w:rFonts w:ascii="Times New Roman" w:hAnsi="Times New Roman"/>
          <w:sz w:val="24"/>
          <w:szCs w:val="24"/>
          <w:lang w:val="ru-RU"/>
        </w:rPr>
        <w:t xml:space="preserve">я терапия, Медико-профилактическое дело, Медико-социальная экспертиза, Медицинская биофизика, Медицинская биохимия, Медицинская кибернетика, Медицинская микробиология, Неврология, Нейрохирургия, Неонатология, Нефрология, Общая врачебная практика (семейная </w:t>
      </w:r>
      <w:r>
        <w:rPr>
          <w:rFonts w:ascii="Times New Roman" w:hAnsi="Times New Roman"/>
          <w:sz w:val="24"/>
          <w:szCs w:val="24"/>
          <w:lang w:val="ru-RU"/>
        </w:rPr>
        <w:t xml:space="preserve">медицина), Общая гигиена, Онкология, Организация здравоохранения и общественное здоровье, Ортодонтия, Остеопатия, Оториноларингология, Офтальмология, Паразитология, Патологическая анатомия, Педиатрия, Педиатрия (после специалитета), Пластическая хирургия, </w:t>
      </w:r>
      <w:r>
        <w:rPr>
          <w:rFonts w:ascii="Times New Roman" w:hAnsi="Times New Roman"/>
          <w:sz w:val="24"/>
          <w:szCs w:val="24"/>
          <w:lang w:val="ru-RU"/>
        </w:rPr>
        <w:t xml:space="preserve">Профпатология</w:t>
      </w:r>
      <w:r>
        <w:rPr>
          <w:rFonts w:ascii="Times New Roman" w:hAnsi="Times New Roman"/>
          <w:sz w:val="24"/>
          <w:szCs w:val="24"/>
          <w:lang w:val="ru-RU"/>
        </w:rPr>
        <w:t xml:space="preserve">, Психиатрия, Психиатрия-наркология, Психотерапия, Пульмонология, Радиационная гигиена, Радиология, Радиотерапия, Ревматология, Рентгенология, </w:t>
      </w:r>
      <w:r>
        <w:rPr>
          <w:rFonts w:ascii="Times New Roman" w:hAnsi="Times New Roman"/>
          <w:sz w:val="24"/>
          <w:szCs w:val="24"/>
          <w:lang w:val="ru-RU"/>
        </w:rPr>
        <w:t xml:space="preserve">Рентгенэндоваскулярные</w:t>
      </w:r>
      <w:r>
        <w:rPr>
          <w:rFonts w:ascii="Times New Roman" w:hAnsi="Times New Roman"/>
          <w:sz w:val="24"/>
          <w:szCs w:val="24"/>
          <w:lang w:val="ru-RU"/>
        </w:rPr>
        <w:t xml:space="preserve"> диагностика и лечение, Рефлексотерапия, Санитарно-гигиенические лабораторные исследования, Сексология, Сердечно-сосудистая хирургия, Сестринское дело, Скорая медицинская помощь, Социальная гигиена и организация госсанэпидслужбы, </w:t>
      </w:r>
      <w:r>
        <w:rPr>
          <w:rFonts w:ascii="Times New Roman" w:hAnsi="Times New Roman"/>
          <w:sz w:val="24"/>
          <w:szCs w:val="24"/>
          <w:lang w:val="ru-RU"/>
        </w:rPr>
        <w:t xml:space="preserve">Стоматология детская, Стоматология общей практики, Стоматология общей практики (после специалитета), Стоматология ортопедическая, Стоматология терапевтическая, Стоматология хирургическая, Судебно-медицинская экспертиза, Судебно-психиатрическая экспертиза, </w:t>
      </w:r>
      <w:r>
        <w:rPr>
          <w:rFonts w:ascii="Times New Roman" w:hAnsi="Times New Roman"/>
          <w:sz w:val="24"/>
          <w:szCs w:val="24"/>
          <w:lang w:val="ru-RU"/>
        </w:rPr>
        <w:t xml:space="preserve">Сурдология</w:t>
      </w:r>
      <w:r>
        <w:rPr>
          <w:rFonts w:ascii="Times New Roman" w:hAnsi="Times New Roman"/>
          <w:sz w:val="24"/>
          <w:szCs w:val="24"/>
          <w:lang w:val="ru-RU"/>
        </w:rPr>
        <w:t xml:space="preserve">-оториноларингология, Токсикология, Торакальная хирургия, Травматология и ортопедия, Трансфузиология, Ультразвуковая диагностика, Управление и экономика фармации, Управление сестринской деятельностью, Уроло</w:t>
      </w:r>
      <w:r>
        <w:rPr>
          <w:rFonts w:ascii="Times New Roman" w:hAnsi="Times New Roman"/>
          <w:sz w:val="24"/>
          <w:szCs w:val="24"/>
          <w:lang w:val="ru-RU"/>
        </w:rPr>
        <w:t xml:space="preserve">гия, Фармацевтическая технология, Фармацевтическая химия и фармакогнозия, Фармация, Физиотерапия, Физическая и реабилитационная медицина, Фтизиатрия, Функциональная диагностика, Хирургия, Челюстно-лицевая хирургия, Эндокринология, Эндоскопия, Эпидемиология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Результаты обучения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Программа направлена на  совершенствование следующих профессиональных компетенций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/>
    </w:p>
    <w:p>
      <w:pPr>
        <w:pStyle w:val="777"/>
        <w:contextualSpacing w:val="0"/>
        <w:ind w:left="1268" w:right="215"/>
        <w:jc w:val="both"/>
        <w:spacing w:before="8" w:line="232" w:lineRule="auto"/>
        <w:widowControl w:val="off"/>
        <w:tabs>
          <w:tab w:val="left" w:pos="1643" w:leader="none"/>
          <w:tab w:val="left" w:pos="3585" w:leader="none"/>
          <w:tab w:val="left" w:pos="4945" w:leader="none"/>
          <w:tab w:val="left" w:pos="6265" w:leader="none"/>
          <w:tab w:val="left" w:pos="8834" w:leader="none"/>
          <w:tab w:val="left" w:pos="9352" w:leader="none"/>
          <w:tab w:val="left" w:pos="11085" w:leader="none"/>
          <w:tab w:val="left" w:pos="13052" w:leader="none"/>
          <w:tab w:val="left" w:pos="15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ПК-1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выбрать</w:t>
      </w:r>
      <w:r>
        <w:rPr>
          <w:rFonts w:ascii="Times New Roman" w:hAnsi="Times New Roman" w:cs="Times New Roman"/>
          <w:sz w:val="24"/>
          <w:szCs w:val="24"/>
        </w:rPr>
        <w:tab/>
        <w:t xml:space="preserve">тактику</w:t>
      </w:r>
      <w:r>
        <w:rPr>
          <w:rFonts w:ascii="Times New Roman" w:hAnsi="Times New Roman" w:cs="Times New Roman"/>
          <w:sz w:val="24"/>
          <w:szCs w:val="24"/>
        </w:rPr>
        <w:tab/>
        <w:t xml:space="preserve">взаимоотношений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максимально</w:t>
      </w: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адаптированную</w:t>
      </w:r>
      <w:r>
        <w:rPr>
          <w:rFonts w:ascii="Times New Roman" w:hAnsi="Times New Roman" w:cs="Times New Roman"/>
          <w:sz w:val="24"/>
          <w:szCs w:val="24"/>
        </w:rPr>
        <w:tab/>
        <w:t xml:space="preserve"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пациентоориентированной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политике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медицинской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организации;</w:t>
      </w:r>
      <w:r/>
    </w:p>
    <w:p>
      <w:pPr>
        <w:pStyle w:val="777"/>
        <w:contextualSpacing w:val="0"/>
        <w:ind w:left="1268" w:right="215"/>
        <w:jc w:val="both"/>
        <w:spacing w:before="8" w:line="232" w:lineRule="auto"/>
        <w:widowControl w:val="off"/>
        <w:tabs>
          <w:tab w:val="left" w:pos="1643" w:leader="none"/>
          <w:tab w:val="left" w:pos="3585" w:leader="none"/>
          <w:tab w:val="left" w:pos="4945" w:leader="none"/>
          <w:tab w:val="left" w:pos="6265" w:leader="none"/>
          <w:tab w:val="left" w:pos="8834" w:leader="none"/>
          <w:tab w:val="left" w:pos="9352" w:leader="none"/>
          <w:tab w:val="left" w:pos="11085" w:leader="none"/>
          <w:tab w:val="left" w:pos="13052" w:leader="none"/>
          <w:tab w:val="left" w:pos="15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ПК-2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навыки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применения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пациентоориентированного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сервиса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медицинском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процессе.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Содержание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содержание и структуру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повышения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реализуется через модули:</w:t>
      </w:r>
      <w:r/>
    </w:p>
    <w:p>
      <w:pPr>
        <w:pStyle w:val="777"/>
        <w:numPr>
          <w:ilvl w:val="0"/>
          <w:numId w:val="22"/>
        </w:numPr>
        <w:jc w:val="both"/>
        <w:spacing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История и определение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пациентоориентированно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о здравоохранения</w:t>
      </w:r>
      <w:r/>
    </w:p>
    <w:p>
      <w:pPr>
        <w:pStyle w:val="777"/>
        <w:numPr>
          <w:ilvl w:val="0"/>
          <w:numId w:val="22"/>
        </w:numPr>
        <w:jc w:val="both"/>
        <w:spacing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Промежуточная аттестация</w:t>
      </w:r>
      <w:r/>
    </w:p>
    <w:p>
      <w:pPr>
        <w:pStyle w:val="777"/>
        <w:numPr>
          <w:ilvl w:val="0"/>
          <w:numId w:val="22"/>
        </w:numPr>
        <w:jc w:val="both"/>
        <w:spacing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Формирование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пациентоориентированной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среды.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Технология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формирования и развития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у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ab/>
        <w:t xml:space="preserve">медицинского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персонала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ab/>
        <w:t xml:space="preserve">«мягких»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навыков.</w:t>
      </w:r>
      <w:r/>
    </w:p>
    <w:p>
      <w:pPr>
        <w:pStyle w:val="777"/>
        <w:numPr>
          <w:ilvl w:val="0"/>
          <w:numId w:val="22"/>
        </w:numPr>
        <w:jc w:val="both"/>
        <w:spacing w:line="240" w:lineRule="auto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Итоговая аттестация</w:t>
      </w:r>
      <w:r/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По завершении обучения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слушатель получает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у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 xml:space="preserve">достоверение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о повышении квалификации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установленного образца.</w:t>
      </w:r>
      <w:r/>
    </w:p>
    <w:p>
      <w:pPr>
        <w:ind w:hanging="2"/>
        <w:jc w:val="right"/>
        <w:rPr>
          <w:rFonts w:ascii="Times New Roman" w:hAnsi="Times New Roman" w:eastAsia="Times New Roman" w:cs="Times New Roman"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Стоимость обучения: 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3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0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00 рублей</w:t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rPr>
          <w:lang w:val="ru-RU"/>
        </w:rPr>
      </w:pPr>
      <w:r>
        <w:br w:type="page" w:clear="all"/>
      </w:r>
      <w:r>
        <w:rPr>
          <w:lang w:val="ru-RU"/>
        </w:rPr>
        <w:t xml:space="preserve">,</w:t>
      </w:r>
      <w:r/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>
        <w:trPr/>
        <w:tc>
          <w:tcPr>
            <w:tcW w:w="6663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page" w:clear="all"/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r>
            <w:r/>
          </w:p>
        </w:tc>
        <w:tc>
          <w:tcPr>
            <w:tcW w:w="3719" w:type="dxa"/>
            <w:textDirection w:val="lrTb"/>
            <w:noWrap w:val="false"/>
          </w:tcPr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b/>
                <w:position w:val="-1"/>
                <w:sz w:val="24"/>
                <w:szCs w:val="24"/>
                <w:lang w:val="ru-RU"/>
              </w:rPr>
              <w:t xml:space="preserve">УТВЕРЖДАЮ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Директор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___________/Брехач Р.А./</w:t>
            </w:r>
            <w:r/>
          </w:p>
          <w:p>
            <w:pPr>
              <w:ind w:hanging="2"/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сент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ября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t xml:space="preserve">г.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4"/>
                <w:szCs w:val="24"/>
                <w:lang w:val="ru-RU"/>
              </w:rPr>
            </w:r>
            <w:r/>
          </w:p>
        </w:tc>
      </w:tr>
    </w:tbl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b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/>
    </w:p>
    <w:p>
      <w:pPr>
        <w:ind w:hanging="2"/>
        <w:jc w:val="center"/>
        <w:keepNext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  <w:r/>
    </w:p>
    <w:p>
      <w:pPr>
        <w:ind w:hanging="2"/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Пациентоориентированность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теории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»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трудоемкость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>
        <w:rPr>
          <w:rFonts w:ascii="Times New Roman" w:hAnsi="Times New Roman" w:cs="Times New Roman"/>
          <w:sz w:val="24"/>
          <w:szCs w:val="24"/>
        </w:rPr>
        <w:t xml:space="preserve">час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(форма обучения: заочная)</w:t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tbl>
      <w:tblPr>
        <w:tblpPr w:horzAnchor="text" w:tblpX="262" w:vertAnchor="text" w:tblpY="1" w:leftFromText="181" w:topFromText="0" w:rightFromText="181" w:bottomFromText="0"/>
        <w:tblW w:w="48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0"/>
        <w:gridCol w:w="5609"/>
        <w:gridCol w:w="880"/>
        <w:gridCol w:w="902"/>
        <w:gridCol w:w="1944"/>
      </w:tblGrid>
      <w:tr>
        <w:trPr/>
        <w:tc>
          <w:tcPr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</w:tc>
        <w:tc>
          <w:tcPr>
            <w:tcW w:w="27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модулей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разделов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Всего часов</w:t>
            </w:r>
            <w:r/>
          </w:p>
        </w:tc>
        <w:tc>
          <w:tcPr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 и ЭО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контроля</w:t>
            </w:r>
            <w:r/>
          </w:p>
        </w:tc>
      </w:tr>
      <w:tr>
        <w:trPr/>
        <w:tc>
          <w:tcPr>
            <w:tcW w:w="3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W w:w="2778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и определение </w:t>
            </w:r>
            <w:r>
              <w:rPr>
                <w:rFonts w:ascii="Times New Roman" w:hAnsi="Times New Roman" w:eastAsia="Times New Roman" w:cs="Times New Roman"/>
              </w:rPr>
              <w:t xml:space="preserve">пациентоориентированно</w:t>
            </w:r>
            <w:r>
              <w:rPr>
                <w:rFonts w:ascii="Times New Roman" w:hAnsi="Times New Roman" w:eastAsia="Times New Roman" w:cs="Times New Roman"/>
              </w:rPr>
              <w:t xml:space="preserve"> о здравоохранения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6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3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/>
          </w:p>
        </w:tc>
        <w:tc>
          <w:tcPr>
            <w:tcW w:w="2778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Промежуточная аттестация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/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96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 xml:space="preserve">Промежуточное тестирование</w:t>
            </w:r>
            <w:r/>
          </w:p>
        </w:tc>
      </w:tr>
      <w:tr>
        <w:trPr/>
        <w:tc>
          <w:tcPr>
            <w:tcW w:w="3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</w:t>
            </w:r>
            <w:r/>
          </w:p>
        </w:tc>
        <w:tc>
          <w:tcPr>
            <w:tcW w:w="2778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Формирование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пациентоориентированной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среды.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Технология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формирования и развития</w:t>
            </w:r>
            <w:r>
              <w:rPr>
                <w:rFonts w:ascii="Times New Roman" w:hAnsi="Times New Roman" w:eastAsia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у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/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96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Тестовый контроль</w:t>
            </w:r>
            <w:r/>
          </w:p>
        </w:tc>
      </w:tr>
      <w:tr>
        <w:trPr/>
        <w:tc>
          <w:tcPr>
            <w:tcW w:w="3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</w:t>
            </w:r>
            <w:r/>
          </w:p>
        </w:tc>
        <w:tc>
          <w:tcPr>
            <w:tcW w:w="2778" w:type="pc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Итоговая аттестация</w:t>
            </w:r>
            <w:r/>
          </w:p>
        </w:tc>
        <w:tc>
          <w:tcPr>
            <w:tcW w:w="436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/>
          </w:p>
        </w:tc>
        <w:tc>
          <w:tcPr>
            <w:tcW w:w="44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  <w:tc>
          <w:tcPr>
            <w:tcW w:w="963" w:type="pc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тестирование</w:t>
            </w:r>
            <w:r/>
          </w:p>
        </w:tc>
      </w:tr>
      <w:tr>
        <w:trPr/>
        <w:tc>
          <w:tcPr>
            <w:tcW w:w="37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78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ИТОГО: </w:t>
            </w:r>
            <w:r/>
          </w:p>
        </w:tc>
        <w:tc>
          <w:tcPr>
            <w:tcW w:w="4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36</w:t>
            </w:r>
            <w:r/>
          </w:p>
        </w:tc>
        <w:tc>
          <w:tcPr>
            <w:tcW w:w="4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36</w:t>
            </w:r>
            <w:r/>
          </w:p>
        </w:tc>
        <w:tc>
          <w:tcPr>
            <w:tcW w:w="96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9" w:h="16834" w:orient="portrait"/>
      <w:pgMar w:top="720" w:right="720" w:bottom="720" w:left="720" w:header="0" w:footer="147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5040102010807070707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701"/>
      <w:spacing w:line="240" w:lineRule="auto"/>
      <w:tabs>
        <w:tab w:val="center" w:pos="4677" w:leader="none"/>
        <w:tab w:val="right" w:pos="9355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372713" cy="8001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372713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501.8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275"/>
      <w:spacing w:line="240" w:lineRule="auto"/>
      <w:tabs>
        <w:tab w:val="center" w:pos="4677" w:leader="none"/>
        <w:tab w:val="right" w:pos="9355" w:leader="none"/>
      </w:tabs>
    </w:pPr>
    <w:r>
      <w:rPr>
        <w:lang w:val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-22860</wp:posOffset>
              </wp:positionV>
              <wp:extent cx="11418570" cy="831215"/>
              <wp:effectExtent l="0" t="0" r="0" b="6985"/>
              <wp:wrapSquare wrapText="bothSides"/>
              <wp:docPr id="1" name="Рисунок 1" descr="C:\Users\pro004\Desktop\АТА\1-ИП к программам\ИП  ЕРЛ\Едурегионлаб для ИП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ro004\Desktop\АТА\1-ИП к программам\ИП  ЕРЛ\Едурегионлаб для ИП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1418570" cy="83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page;margin-left:0.0pt;mso-position-horizontal:absolute;mso-position-vertical-relative:text;margin-top:-1.8pt;mso-position-vertical:absolute;width:899.1pt;height:65.5pt;mso-wrap-distance-left:9.0pt;mso-wrap-distance-top:0.0pt;mso-wrap-distance-right:9.0pt;mso-wrap-distance-bottom:0.0pt;" stroked="f">
              <v:path textboxrect="0,0,0,0"/>
              <w10:wrap type="square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-3"/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529888" cy="800100"/>
              <wp:effectExtent l="0" t="0" r="0" b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29888" cy="8001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92.9pt;height:63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72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32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8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00" w:hanging="281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8" w:hanging="2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7" w:hanging="2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2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51" w:hanging="2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78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7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29" w:hanging="7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23" w:hanging="69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43" w:hanging="699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6" w:hanging="699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9" w:hanging="699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12" w:hanging="699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36" w:hanging="699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59" w:hanging="699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82" w:hanging="699"/>
      </w:pPr>
      <w:rPr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2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63"/>
    <w:link w:val="75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63"/>
    <w:link w:val="75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63"/>
    <w:link w:val="75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63"/>
    <w:link w:val="76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63"/>
    <w:link w:val="76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63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56"/>
    <w:next w:val="75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56"/>
    <w:next w:val="75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56"/>
    <w:next w:val="75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63"/>
    <w:link w:val="767"/>
    <w:uiPriority w:val="10"/>
    <w:rPr>
      <w:sz w:val="48"/>
      <w:szCs w:val="48"/>
    </w:rPr>
  </w:style>
  <w:style w:type="character" w:styleId="36">
    <w:name w:val="Subtitle Char"/>
    <w:basedOn w:val="763"/>
    <w:link w:val="769"/>
    <w:uiPriority w:val="11"/>
    <w:rPr>
      <w:sz w:val="24"/>
      <w:szCs w:val="24"/>
    </w:rPr>
  </w:style>
  <w:style w:type="paragraph" w:styleId="37">
    <w:name w:val="Quote"/>
    <w:basedOn w:val="756"/>
    <w:next w:val="75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56"/>
    <w:next w:val="75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63"/>
    <w:link w:val="771"/>
    <w:uiPriority w:val="99"/>
  </w:style>
  <w:style w:type="character" w:styleId="44">
    <w:name w:val="Footer Char"/>
    <w:basedOn w:val="763"/>
    <w:link w:val="773"/>
    <w:uiPriority w:val="99"/>
  </w:style>
  <w:style w:type="paragraph" w:styleId="45">
    <w:name w:val="Caption"/>
    <w:basedOn w:val="756"/>
    <w:next w:val="7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73"/>
    <w:uiPriority w:val="99"/>
  </w:style>
  <w:style w:type="table" w:styleId="47">
    <w:name w:val="Table Grid"/>
    <w:basedOn w:val="7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5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63"/>
    <w:uiPriority w:val="99"/>
    <w:unhideWhenUsed/>
    <w:rPr>
      <w:vertAlign w:val="superscript"/>
    </w:rPr>
  </w:style>
  <w:style w:type="paragraph" w:styleId="177">
    <w:name w:val="endnote text"/>
    <w:basedOn w:val="75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63"/>
    <w:uiPriority w:val="99"/>
    <w:semiHidden/>
    <w:unhideWhenUsed/>
    <w:rPr>
      <w:vertAlign w:val="superscript"/>
    </w:rPr>
  </w:style>
  <w:style w:type="paragraph" w:styleId="180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756" w:default="1">
    <w:name w:val="Normal"/>
  </w:style>
  <w:style w:type="paragraph" w:styleId="757">
    <w:name w:val="Heading 1"/>
    <w:basedOn w:val="756"/>
    <w:next w:val="756"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58">
    <w:name w:val="Heading 2"/>
    <w:basedOn w:val="756"/>
    <w:next w:val="756"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59">
    <w:name w:val="Heading 3"/>
    <w:basedOn w:val="756"/>
    <w:next w:val="756"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60">
    <w:name w:val="Heading 4"/>
    <w:basedOn w:val="756"/>
    <w:next w:val="756"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61">
    <w:name w:val="Heading 5"/>
    <w:basedOn w:val="756"/>
    <w:next w:val="756"/>
    <w:pPr>
      <w:keepLines/>
      <w:keepNext/>
      <w:spacing w:before="240" w:after="80"/>
      <w:outlineLvl w:val="4"/>
    </w:pPr>
    <w:rPr>
      <w:color w:val="666666"/>
    </w:rPr>
  </w:style>
  <w:style w:type="paragraph" w:styleId="762">
    <w:name w:val="Heading 6"/>
    <w:basedOn w:val="756"/>
    <w:next w:val="756"/>
    <w:pPr>
      <w:keepLines/>
      <w:keepNext/>
      <w:spacing w:before="240" w:after="80"/>
      <w:outlineLvl w:val="5"/>
    </w:pPr>
    <w:rPr>
      <w:i/>
      <w:color w:val="666666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table" w:styleId="76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7">
    <w:name w:val="Title"/>
    <w:basedOn w:val="756"/>
    <w:next w:val="756"/>
    <w:pPr>
      <w:keepLines/>
      <w:keepNext/>
      <w:spacing w:after="60"/>
    </w:pPr>
    <w:rPr>
      <w:sz w:val="52"/>
      <w:szCs w:val="52"/>
    </w:rPr>
  </w:style>
  <w:style w:type="table" w:styleId="76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69">
    <w:name w:val="Subtitle"/>
    <w:basedOn w:val="756"/>
    <w:next w:val="756"/>
    <w:pPr>
      <w:keepLines/>
      <w:keepNext/>
      <w:spacing w:after="320"/>
    </w:pPr>
    <w:rPr>
      <w:color w:val="666666"/>
      <w:sz w:val="30"/>
      <w:szCs w:val="30"/>
    </w:rPr>
  </w:style>
  <w:style w:type="table" w:styleId="770" w:customStyle="1">
    <w:name w:val="StGen0"/>
    <w:basedOn w:val="76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771">
    <w:name w:val="Header"/>
    <w:basedOn w:val="756"/>
    <w:link w:val="77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72" w:customStyle="1">
    <w:name w:val="Верхний колонтитул Знак"/>
    <w:basedOn w:val="763"/>
    <w:link w:val="771"/>
    <w:uiPriority w:val="99"/>
  </w:style>
  <w:style w:type="paragraph" w:styleId="773">
    <w:name w:val="Footer"/>
    <w:basedOn w:val="756"/>
    <w:link w:val="774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74" w:customStyle="1">
    <w:name w:val="Нижний колонтитул Знак"/>
    <w:basedOn w:val="763"/>
    <w:link w:val="773"/>
    <w:uiPriority w:val="99"/>
  </w:style>
  <w:style w:type="character" w:styleId="775">
    <w:name w:val="Strong"/>
    <w:basedOn w:val="763"/>
    <w:uiPriority w:val="22"/>
    <w:qFormat/>
    <w:rPr>
      <w:b/>
      <w:bCs/>
    </w:rPr>
  </w:style>
  <w:style w:type="paragraph" w:styleId="776" w:customStyle="1">
    <w:name w:val="ConsPlusNormal"/>
    <w:qFormat/>
    <w:pPr>
      <w:ind w:firstLine="720"/>
      <w:spacing w:line="240" w:lineRule="auto"/>
      <w:widowControl w:val="off"/>
    </w:pPr>
    <w:rPr>
      <w:rFonts w:eastAsia="Times New Roman"/>
      <w:sz w:val="20"/>
      <w:szCs w:val="20"/>
      <w:lang w:val="ru-RU"/>
    </w:rPr>
  </w:style>
  <w:style w:type="paragraph" w:styleId="777">
    <w:name w:val="List Paragraph"/>
    <w:basedOn w:val="756"/>
    <w:link w:val="782"/>
    <w:uiPriority w:val="1"/>
    <w:qFormat/>
    <w:pPr>
      <w:contextualSpacing/>
      <w:ind w:left="720"/>
    </w:pPr>
  </w:style>
  <w:style w:type="paragraph" w:styleId="778" w:customStyle="1">
    <w:name w:val="ConsPlusTitle"/>
    <w:pPr>
      <w:spacing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val="ru-RU" w:eastAsia="ar-SA"/>
    </w:rPr>
  </w:style>
  <w:style w:type="paragraph" w:styleId="779" w:customStyle="1">
    <w:name w:val="Style7"/>
    <w:basedOn w:val="756"/>
    <w:pPr>
      <w:ind w:firstLine="720"/>
      <w:jc w:val="both"/>
      <w:spacing w:line="317" w:lineRule="exact"/>
      <w:widowControl w:val="off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780">
    <w:name w:val="Balloon Text"/>
    <w:basedOn w:val="756"/>
    <w:link w:val="781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781" w:customStyle="1">
    <w:name w:val="Текст выноски Знак"/>
    <w:basedOn w:val="763"/>
    <w:link w:val="780"/>
    <w:uiPriority w:val="99"/>
    <w:semiHidden/>
    <w:rPr>
      <w:rFonts w:ascii="Tahoma" w:hAnsi="Tahoma" w:cs="Tahoma"/>
      <w:sz w:val="16"/>
      <w:szCs w:val="16"/>
    </w:rPr>
  </w:style>
  <w:style w:type="character" w:styleId="782" w:customStyle="1">
    <w:name w:val="Абзац списка Знак"/>
    <w:link w:val="777"/>
    <w:uiPriority w:val="34"/>
  </w:style>
  <w:style w:type="paragraph" w:styleId="783" w:customStyle="1">
    <w:name w:val="Table Paragraph"/>
    <w:basedOn w:val="756"/>
    <w:uiPriority w:val="1"/>
    <w:qFormat/>
    <w:pPr>
      <w:spacing w:line="240" w:lineRule="auto"/>
      <w:widowControl w:val="off"/>
    </w:pPr>
    <w:rPr>
      <w:rFonts w:ascii="Times New Roman" w:hAnsi="Times New Roman" w:eastAsia="Times New Roman" w:cs="Times New Roman"/>
      <w:lang w:val="ru-RU" w:eastAsia="en-US"/>
    </w:rPr>
  </w:style>
  <w:style w:type="paragraph" w:styleId="784">
    <w:name w:val="Body Text"/>
    <w:basedOn w:val="756"/>
    <w:link w:val="785"/>
    <w:uiPriority w:val="1"/>
    <w:unhideWhenUsed/>
    <w:qFormat/>
    <w:pPr>
      <w:ind w:hanging="310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8"/>
      <w:lang w:val="ru-RU" w:eastAsia="en-US"/>
    </w:rPr>
  </w:style>
  <w:style w:type="character" w:styleId="785" w:customStyle="1">
    <w:name w:val="Основной текст Знак"/>
    <w:basedOn w:val="763"/>
    <w:link w:val="784"/>
    <w:uiPriority w:val="1"/>
    <w:rPr>
      <w:rFonts w:ascii="Times New Roman" w:hAnsi="Times New Roman" w:eastAsia="Times New Roman" w:cs="Times New Roman"/>
      <w:sz w:val="28"/>
      <w:szCs w:val="28"/>
      <w:lang w:val="ru-RU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3</cp:revision>
  <dcterms:created xsi:type="dcterms:W3CDTF">2023-01-11T12:11:00Z</dcterms:created>
  <dcterms:modified xsi:type="dcterms:W3CDTF">2023-01-11T12:34:25Z</dcterms:modified>
</cp:coreProperties>
</file>